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2B" w:rsidRPr="000F37C6" w:rsidRDefault="00754013" w:rsidP="000F37C6">
      <w:pPr>
        <w:pStyle w:val="Bodytext20"/>
        <w:shd w:val="clear" w:color="auto" w:fill="auto"/>
        <w:spacing w:line="240" w:lineRule="auto"/>
        <w:ind w:right="20" w:firstLine="0"/>
        <w:jc w:val="center"/>
        <w:rPr>
          <w:b/>
          <w:sz w:val="22"/>
          <w:szCs w:val="22"/>
        </w:rPr>
      </w:pPr>
      <w:r w:rsidRPr="000F37C6">
        <w:rPr>
          <w:b/>
          <w:sz w:val="22"/>
          <w:szCs w:val="22"/>
        </w:rPr>
        <w:t>ПЕРЕЛІК</w:t>
      </w:r>
    </w:p>
    <w:p w:rsidR="0043242B" w:rsidRPr="000F37C6" w:rsidRDefault="00754013" w:rsidP="000F37C6">
      <w:pPr>
        <w:pStyle w:val="Bodytext20"/>
        <w:shd w:val="clear" w:color="auto" w:fill="auto"/>
        <w:spacing w:line="240" w:lineRule="auto"/>
        <w:ind w:right="20" w:firstLine="0"/>
        <w:jc w:val="center"/>
        <w:rPr>
          <w:b/>
          <w:sz w:val="22"/>
          <w:szCs w:val="22"/>
        </w:rPr>
      </w:pPr>
      <w:r w:rsidRPr="000F37C6">
        <w:rPr>
          <w:b/>
          <w:sz w:val="22"/>
          <w:szCs w:val="22"/>
        </w:rPr>
        <w:t>будівель промисл</w:t>
      </w:r>
      <w:r w:rsidR="000F37C6">
        <w:rPr>
          <w:b/>
          <w:sz w:val="22"/>
          <w:szCs w:val="22"/>
        </w:rPr>
        <w:t xml:space="preserve">ового та сільськогосподарського призначення, </w:t>
      </w:r>
      <w:r w:rsidRPr="000F37C6">
        <w:rPr>
          <w:b/>
          <w:sz w:val="22"/>
          <w:szCs w:val="22"/>
        </w:rPr>
        <w:t>об’єктів енергетики, транспорту,</w:t>
      </w:r>
      <w:r w:rsidR="000F37C6">
        <w:rPr>
          <w:b/>
          <w:sz w:val="22"/>
          <w:szCs w:val="22"/>
        </w:rPr>
        <w:t xml:space="preserve"> зв’язку та оборони, складських </w:t>
      </w:r>
      <w:r w:rsidRPr="000F37C6">
        <w:rPr>
          <w:b/>
          <w:sz w:val="22"/>
          <w:szCs w:val="22"/>
        </w:rPr>
        <w:t xml:space="preserve">приміщень, на які не поширюються мінімальні вимоги до </w:t>
      </w:r>
      <w:r w:rsidRPr="000F37C6">
        <w:rPr>
          <w:b/>
          <w:sz w:val="22"/>
          <w:szCs w:val="22"/>
        </w:rPr>
        <w:t>енергетичної</w:t>
      </w:r>
      <w:r w:rsidR="000F37C6" w:rsidRPr="000F37C6">
        <w:rPr>
          <w:b/>
          <w:sz w:val="22"/>
          <w:szCs w:val="22"/>
        </w:rPr>
        <w:t xml:space="preserve"> </w:t>
      </w:r>
      <w:r w:rsidRPr="000F37C6">
        <w:rPr>
          <w:b/>
          <w:sz w:val="22"/>
          <w:szCs w:val="22"/>
        </w:rPr>
        <w:t>ефективності будівель та</w:t>
      </w:r>
      <w:r w:rsidR="000F37C6" w:rsidRPr="000F37C6">
        <w:rPr>
          <w:b/>
          <w:sz w:val="22"/>
          <w:szCs w:val="22"/>
        </w:rPr>
        <w:t xml:space="preserve"> які не підлягають сертифікації </w:t>
      </w:r>
      <w:r w:rsidRPr="000F37C6">
        <w:rPr>
          <w:b/>
          <w:sz w:val="22"/>
          <w:szCs w:val="22"/>
        </w:rPr>
        <w:t>енергетичної ефективності будівель</w:t>
      </w:r>
    </w:p>
    <w:p w:rsidR="000F37C6" w:rsidRPr="000F37C6" w:rsidRDefault="000F37C6" w:rsidP="000F37C6">
      <w:pPr>
        <w:pStyle w:val="Bodytext20"/>
        <w:shd w:val="clear" w:color="auto" w:fill="auto"/>
        <w:spacing w:line="240" w:lineRule="auto"/>
        <w:ind w:right="20" w:firstLine="0"/>
        <w:jc w:val="both"/>
        <w:rPr>
          <w:sz w:val="22"/>
          <w:szCs w:val="22"/>
        </w:rPr>
      </w:pP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Будівлі, що офіційно захищені як частина визначеного середовища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Казарми Збройних Сил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Військові випробувальні центри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Військові полігони та стрільбища</w:t>
      </w:r>
    </w:p>
    <w:p w:rsidR="0043242B" w:rsidRPr="000F37C6" w:rsidRDefault="00754013" w:rsidP="000F37C6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0F37C6">
        <w:rPr>
          <w:sz w:val="22"/>
          <w:szCs w:val="22"/>
        </w:rPr>
        <w:t>Вій</w:t>
      </w:r>
      <w:r w:rsidRPr="000F37C6">
        <w:rPr>
          <w:sz w:val="22"/>
          <w:szCs w:val="22"/>
        </w:rPr>
        <w:t>ськові інженерні фортифікаційні споруди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Гуртожитки для робітників та службовців Збройних Сил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Гуртожитки дія студентів вищих навчальних закладів Збройних Сил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Гуртожитки для учнів навчальних закладів Збройних Сил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Технічні центри Збройних Сил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Будівлі архівів </w:t>
      </w:r>
      <w:r w:rsidRPr="000F37C6">
        <w:rPr>
          <w:sz w:val="22"/>
          <w:szCs w:val="22"/>
        </w:rPr>
        <w:t>Збройних Сил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науково-дослідних та проектно-вишукувальних установ Збройних Сил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вищих навчальних закладів Збройних Сил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Шпиталі Збройних Сил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Тири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міліцейських та пожежних військових служб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Споруди для обслуговування злітно-посадкових та</w:t>
      </w:r>
      <w:r w:rsidRPr="000F37C6">
        <w:rPr>
          <w:sz w:val="22"/>
          <w:szCs w:val="22"/>
        </w:rPr>
        <w:t xml:space="preserve"> стоянкових смуг Збройних Сил інші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Порти військові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Будівлі, що офіційно захищені у зв’язку з їх особливістю з архітектурного чи історичного погляду в тій мірі, в якій виконання певних мінімальних вимог енергетичної ефективності може неприйнятним чином змін</w:t>
      </w:r>
      <w:r w:rsidRPr="000F37C6">
        <w:rPr>
          <w:sz w:val="22"/>
          <w:szCs w:val="22"/>
        </w:rPr>
        <w:t>ити їх характер або вигляд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Історичні будівлі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Будівлі, що повністю або частково зберегли свою автентичність і характеризуються відзнаками певної культури, епохи, певних стилів, традицій, будівельних технологій або є творами відомих авторів</w:t>
      </w:r>
    </w:p>
    <w:p w:rsidR="0043242B" w:rsidRPr="000F37C6" w:rsidRDefault="00754013" w:rsidP="000F37C6">
      <w:pPr>
        <w:pStyle w:val="Bodytext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історично</w:t>
      </w:r>
      <w:r w:rsidRPr="000F37C6">
        <w:rPr>
          <w:sz w:val="22"/>
          <w:szCs w:val="22"/>
        </w:rPr>
        <w:t xml:space="preserve"> сформованих центрів населених місць, вулиць, кварталів, площ, комплексів (ансамблів) із збереженою планувальною і просторовою структурою та історичною забудовою, у тому числі поєднаною</w:t>
      </w:r>
      <w:r w:rsidR="000F37C6">
        <w:rPr>
          <w:sz w:val="22"/>
          <w:szCs w:val="22"/>
        </w:rPr>
        <w:t xml:space="preserve"> </w:t>
      </w:r>
      <w:r w:rsidRPr="000F37C6">
        <w:rPr>
          <w:sz w:val="22"/>
          <w:szCs w:val="22"/>
        </w:rPr>
        <w:t xml:space="preserve">з ландшафтом, залишки давнього розпланування та </w:t>
      </w:r>
      <w:r w:rsidRPr="000F37C6">
        <w:rPr>
          <w:sz w:val="22"/>
          <w:szCs w:val="22"/>
        </w:rPr>
        <w:t>забудови, що є носіями певних містобудівних ідей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об’єктів садово-паркового мистецтва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об’єктів науки і техніки — унікальні промислові, виробничі, науково-виробничі, інженерні, інженерно-транспортні об’єкти, їло визначають рівень розвитку нау</w:t>
      </w:r>
      <w:r w:rsidRPr="000F37C6">
        <w:rPr>
          <w:sz w:val="22"/>
          <w:szCs w:val="22"/>
        </w:rPr>
        <w:t>ки і техніки певної епохи, певних наукових напрямів або промислових галузей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Будівлі, що використовуються як місця для відправлення релігійного культу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Церкви, собори, костьоли, каплиці, мечеті, синагоги, інші будівлі, в яких здійснюються богослужіння або ре</w:t>
      </w:r>
      <w:r w:rsidRPr="000F37C6">
        <w:rPr>
          <w:sz w:val="22"/>
          <w:szCs w:val="22"/>
        </w:rPr>
        <w:t>лігійні зібрання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Споруди місць поховання, зокрема крематорії, колумбарій або інша будівля чи споруда, призначена для організації поховання померлих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Тимчасові споруди для провадження підприємницької діяльності із строком використання не більше двох років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Пр</w:t>
      </w:r>
      <w:r w:rsidRPr="000F37C6">
        <w:rPr>
          <w:sz w:val="22"/>
          <w:szCs w:val="22"/>
        </w:rPr>
        <w:t>омислові об'єкти, майстерні</w:t>
      </w:r>
    </w:p>
    <w:p w:rsidR="0043242B" w:rsidRPr="000F37C6" w:rsidRDefault="00754013" w:rsidP="000F37C6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0F37C6">
        <w:rPr>
          <w:sz w:val="22"/>
          <w:szCs w:val="22"/>
        </w:rPr>
        <w:t>Будівлі підприємств машинобудування та металообробної промисловості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підприємств чорної металургії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підприємств хімічної та нафтохімічної промисловості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підприємств легкої промисловості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Будівлі підприємств </w:t>
      </w:r>
      <w:r w:rsidRPr="000F37C6">
        <w:rPr>
          <w:sz w:val="22"/>
          <w:szCs w:val="22"/>
        </w:rPr>
        <w:t>харчової промисловості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підприємств медичної та мікробіологічної промисловості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підприємств лісової, деревообробної та целюлозно-паперової промисловості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Будівлі підприємств будівельної індустрії, будівельних матеріалів та виробів, скляної та </w:t>
      </w:r>
      <w:r w:rsidRPr="000F37C6">
        <w:rPr>
          <w:sz w:val="22"/>
          <w:szCs w:val="22"/>
        </w:rPr>
        <w:t>фарфоро-фаянсової промисловості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Будівлі, що використовуються для інших промислових виробництв, а саме:</w:t>
      </w:r>
    </w:p>
    <w:p w:rsidR="0043242B" w:rsidRPr="000F37C6" w:rsidRDefault="00754013" w:rsidP="00D727EB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добувної промисловості і розроблення кар’єрів:</w:t>
      </w:r>
    </w:p>
    <w:p w:rsidR="0043242B" w:rsidRPr="000F37C6" w:rsidRDefault="00754013" w:rsidP="00D727EB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lastRenderedPageBreak/>
        <w:t>водопостачання, каналізації та поводження з відходами;</w:t>
      </w:r>
    </w:p>
    <w:p w:rsidR="0043242B" w:rsidRPr="000F37C6" w:rsidRDefault="00754013" w:rsidP="00D727EB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поліграфічної діяльності і надання пов’язаних з нею</w:t>
      </w:r>
      <w:r w:rsidRPr="000F37C6">
        <w:rPr>
          <w:sz w:val="22"/>
          <w:szCs w:val="22"/>
        </w:rPr>
        <w:t xml:space="preserve"> послуг, тиражування записаної інформації;</w:t>
      </w:r>
    </w:p>
    <w:p w:rsidR="0043242B" w:rsidRPr="000F37C6" w:rsidRDefault="00754013" w:rsidP="00D727EB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виробництва тютюнових виробів;</w:t>
      </w:r>
    </w:p>
    <w:p w:rsidR="0043242B" w:rsidRPr="000F37C6" w:rsidRDefault="00754013" w:rsidP="00D727EB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виробництва основних фармацевтичних продуктів і фармацевтичних препаратів;</w:t>
      </w:r>
    </w:p>
    <w:p w:rsidR="0043242B" w:rsidRPr="000F37C6" w:rsidRDefault="00754013" w:rsidP="00D727EB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виробництва комп'ютерів, електронної та оптичної продукції;</w:t>
      </w:r>
    </w:p>
    <w:p w:rsidR="008C6DDF" w:rsidRDefault="00754013" w:rsidP="00D727EB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виробництва електричного устатковання;</w:t>
      </w:r>
    </w:p>
    <w:p w:rsidR="0043242B" w:rsidRPr="000F37C6" w:rsidRDefault="00754013" w:rsidP="00D727EB">
      <w:pPr>
        <w:pStyle w:val="Bodytext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  <w:bookmarkStart w:id="0" w:name="_GoBack"/>
      <w:bookmarkEnd w:id="0"/>
      <w:r w:rsidRPr="000F37C6">
        <w:rPr>
          <w:sz w:val="22"/>
          <w:szCs w:val="22"/>
        </w:rPr>
        <w:t>виробництва іншої продукції (ювелі</w:t>
      </w:r>
      <w:r w:rsidRPr="000F37C6">
        <w:rPr>
          <w:sz w:val="22"/>
          <w:szCs w:val="22"/>
        </w:rPr>
        <w:t>рних виробів, біжутерії, музичних інструментів, спортивних товарів, ігор та іграшок, медичних і стоматологічних інструментів і матеріалів, мітел і щіток)</w:t>
      </w:r>
    </w:p>
    <w:p w:rsid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8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Споруди підприємств нафтодобувної та газової промисловості </w:t>
      </w:r>
    </w:p>
    <w:p w:rsid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8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Шахти та споруди підприємств з добування ву</w:t>
      </w:r>
      <w:r w:rsidRPr="000F37C6">
        <w:rPr>
          <w:sz w:val="22"/>
          <w:szCs w:val="22"/>
        </w:rPr>
        <w:t xml:space="preserve">гілля та сланцю </w:t>
      </w:r>
    </w:p>
    <w:p w:rsid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8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Споруди підприємств торф’яної промисловості </w:t>
      </w:r>
    </w:p>
    <w:p w:rsid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8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Споруди гірничопромислових та добувних підприємств </w:t>
      </w:r>
    </w:p>
    <w:p w:rsid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8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Споруди нафтохімічних та нафтопереробних підприємств </w:t>
      </w:r>
    </w:p>
    <w:p w:rsid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8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Термінали для нафтопродуктів портові та прибережні 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8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Споруди підприємств хімічної промисловост</w:t>
      </w:r>
      <w:r w:rsidRPr="000F37C6">
        <w:rPr>
          <w:sz w:val="22"/>
          <w:szCs w:val="22"/>
        </w:rPr>
        <w:t>і інші, а саме: для виробництва хімічних речовин і хімічної продукції; для виробництва гумових і пластмасових виробів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Споруди підприємств металургійної промисловості з виробництва дорогоцінних та інших кольорових металів</w:t>
      </w:r>
    </w:p>
    <w:p w:rsid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20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Електростанції гідравлічні та гідро</w:t>
      </w:r>
      <w:r w:rsidRPr="000F37C6">
        <w:rPr>
          <w:sz w:val="22"/>
          <w:szCs w:val="22"/>
        </w:rPr>
        <w:t xml:space="preserve">акумуляційні </w:t>
      </w:r>
    </w:p>
    <w:p w:rsid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20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Електростанції теплові 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20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Електростанції атомні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Електростанції на нетрадиційних джерелах енергії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Споруди підприємств із збагачення та перероблення ядерних матеріалів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Споруди підприємств із спалювання відходів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Споруди підприємств електро- та тепло</w:t>
      </w:r>
      <w:r w:rsidRPr="000F37C6">
        <w:rPr>
          <w:sz w:val="22"/>
          <w:szCs w:val="22"/>
        </w:rPr>
        <w:t>енергетики інші, а саме - для постачання електроенергії, газу, пари та кондиційованого повітря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Автовокзали та інші будівлі автомобільного транспорту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Вокзали та інші будівлі залізничного транспорту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міського електротранспорту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Аеровокзали та інші </w:t>
      </w:r>
      <w:r w:rsidRPr="000F37C6">
        <w:rPr>
          <w:sz w:val="22"/>
          <w:szCs w:val="22"/>
        </w:rPr>
        <w:t>будівлі повітряного транспорту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Морські та річкові вокзали, маяки та пов’язані з ними будівлі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станцій підвісних та канатних доріг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Ангари для літаків, локомотивні, вагонні, трамвайні та тролейбусні</w:t>
      </w:r>
      <w:r w:rsidR="000F37C6">
        <w:rPr>
          <w:sz w:val="22"/>
          <w:szCs w:val="22"/>
        </w:rPr>
        <w:t xml:space="preserve"> </w:t>
      </w:r>
      <w:r w:rsidRPr="000F37C6">
        <w:rPr>
          <w:sz w:val="22"/>
          <w:szCs w:val="22"/>
        </w:rPr>
        <w:t>депо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транспорту та засобів зв'язку інші, а с</w:t>
      </w:r>
      <w:r w:rsidRPr="000F37C6">
        <w:rPr>
          <w:sz w:val="22"/>
          <w:szCs w:val="22"/>
        </w:rPr>
        <w:t>аме:</w:t>
      </w:r>
      <w:r w:rsidR="000F37C6">
        <w:rPr>
          <w:sz w:val="22"/>
          <w:szCs w:val="22"/>
        </w:rPr>
        <w:t xml:space="preserve"> </w:t>
      </w:r>
      <w:r w:rsidRPr="000F37C6">
        <w:rPr>
          <w:sz w:val="22"/>
          <w:szCs w:val="22"/>
        </w:rPr>
        <w:t>складського господарства та для допоміжної діяльності у сфері транспорту</w:t>
      </w:r>
    </w:p>
    <w:p w:rsid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35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трубопровідного транспорту космічного транспорт</w:t>
      </w:r>
      <w:r w:rsidR="000F37C6" w:rsidRPr="000F37C6">
        <w:rPr>
          <w:sz w:val="22"/>
          <w:szCs w:val="22"/>
        </w:rPr>
        <w:t xml:space="preserve">у </w:t>
      </w:r>
    </w:p>
    <w:p w:rsidR="000F37C6" w:rsidRDefault="000F37C6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35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Гаражі наземні </w:t>
      </w:r>
    </w:p>
    <w:p w:rsidR="000F37C6" w:rsidRDefault="000F37C6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35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Гаражі підземні</w:t>
      </w:r>
    </w:p>
    <w:p w:rsid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центрів рад</w:t>
      </w:r>
      <w:r w:rsidR="000F37C6">
        <w:rPr>
          <w:sz w:val="22"/>
          <w:szCs w:val="22"/>
        </w:rPr>
        <w:t xml:space="preserve">іо- та телемовлення, </w:t>
      </w:r>
      <w:r w:rsidR="000F37C6" w:rsidRPr="000F37C6">
        <w:rPr>
          <w:sz w:val="22"/>
          <w:szCs w:val="22"/>
        </w:rPr>
        <w:t xml:space="preserve">телефонних </w:t>
      </w:r>
      <w:r w:rsidRPr="000F37C6">
        <w:rPr>
          <w:sz w:val="22"/>
          <w:szCs w:val="22"/>
        </w:rPr>
        <w:t>станцій, т</w:t>
      </w:r>
      <w:r w:rsidRPr="000F37C6">
        <w:rPr>
          <w:sz w:val="22"/>
          <w:szCs w:val="22"/>
        </w:rPr>
        <w:t>елекомунікаційних центрів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358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транспорту та засобів зв’язку, а саме</w:t>
      </w:r>
      <w:r w:rsidR="000F37C6">
        <w:rPr>
          <w:sz w:val="22"/>
          <w:szCs w:val="22"/>
        </w:rPr>
        <w:t xml:space="preserve"> </w:t>
      </w:r>
      <w:r w:rsidRPr="000F37C6">
        <w:rPr>
          <w:sz w:val="22"/>
          <w:szCs w:val="22"/>
        </w:rPr>
        <w:t>для:</w:t>
      </w:r>
    </w:p>
    <w:p w:rsidR="0043242B" w:rsidRPr="000F37C6" w:rsidRDefault="00754013" w:rsidP="000F37C6">
      <w:pPr>
        <w:pStyle w:val="Bodytext20"/>
        <w:shd w:val="clear" w:color="auto" w:fill="auto"/>
        <w:spacing w:line="240" w:lineRule="auto"/>
        <w:ind w:firstLine="42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діяльності у сфері проводового електрозв’язку</w:t>
      </w:r>
    </w:p>
    <w:p w:rsidR="0043242B" w:rsidRPr="000F37C6" w:rsidRDefault="00754013" w:rsidP="000F37C6">
      <w:pPr>
        <w:pStyle w:val="Bodytext20"/>
        <w:shd w:val="clear" w:color="auto" w:fill="auto"/>
        <w:spacing w:line="240" w:lineRule="auto"/>
        <w:ind w:firstLine="42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діяльності у сфері безпроводового електрозв’язку</w:t>
      </w:r>
    </w:p>
    <w:p w:rsidR="0043242B" w:rsidRPr="000F37C6" w:rsidRDefault="00754013" w:rsidP="000F37C6">
      <w:pPr>
        <w:pStyle w:val="Bodytext20"/>
        <w:shd w:val="clear" w:color="auto" w:fill="auto"/>
        <w:spacing w:line="240" w:lineRule="auto"/>
        <w:ind w:firstLine="42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діяльності у сфері супутникового електрозв’язку</w:t>
      </w:r>
    </w:p>
    <w:p w:rsidR="0043242B" w:rsidRPr="000F37C6" w:rsidRDefault="00754013" w:rsidP="000F37C6">
      <w:pPr>
        <w:pStyle w:val="Bodytext20"/>
        <w:shd w:val="clear" w:color="auto" w:fill="auto"/>
        <w:spacing w:line="240" w:lineRule="auto"/>
        <w:ind w:firstLine="42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складського господарства та </w:t>
      </w:r>
      <w:r w:rsidRPr="000F37C6">
        <w:rPr>
          <w:sz w:val="22"/>
          <w:szCs w:val="22"/>
        </w:rPr>
        <w:t>допоміжної діяльності у сфері зв'язку</w:t>
      </w:r>
    </w:p>
    <w:p w:rsidR="0043242B" w:rsidRPr="000F37C6" w:rsidRDefault="00754013" w:rsidP="000F37C6">
      <w:pPr>
        <w:pStyle w:val="Bodytext20"/>
        <w:shd w:val="clear" w:color="auto" w:fill="auto"/>
        <w:spacing w:line="240" w:lineRule="auto"/>
        <w:ind w:firstLine="42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поштової та кур’єрської діяльності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Нежитлові сільськогосподарські будівлі з рівнем ене</w:t>
      </w:r>
      <w:r w:rsidR="000F37C6">
        <w:rPr>
          <w:sz w:val="22"/>
          <w:szCs w:val="22"/>
        </w:rPr>
        <w:t xml:space="preserve">ргоспоживання, що не перевищує </w:t>
      </w:r>
      <w:r w:rsidRPr="000F37C6">
        <w:rPr>
          <w:sz w:val="22"/>
          <w:szCs w:val="22"/>
        </w:rPr>
        <w:t>мінімальних вимог до енергетичної ефективності</w:t>
      </w:r>
    </w:p>
    <w:p w:rsidR="000F37C6" w:rsidRDefault="000F37C6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Будівлі для тваринництва</w:t>
      </w:r>
    </w:p>
    <w:p w:rsidR="000F37C6" w:rsidRDefault="000F37C6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Будівлі для птахівництва</w:t>
      </w:r>
    </w:p>
    <w:p w:rsid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</w:t>
      </w:r>
      <w:r w:rsidR="000F37C6">
        <w:rPr>
          <w:sz w:val="22"/>
          <w:szCs w:val="22"/>
        </w:rPr>
        <w:t>івлі для зберігання зерна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силосні та сінажні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для садівництва, виноградарства та виноробства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тепличного господарства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рибного господарства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підприємств лісівництва та звірівництва</w:t>
      </w:r>
    </w:p>
    <w:p w:rsidR="0043242B" w:rsidRPr="000F37C6" w:rsidRDefault="00754013" w:rsidP="000F37C6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Будівлі та житлові приміщення, що викор</w:t>
      </w:r>
      <w:r w:rsidRPr="000F37C6">
        <w:rPr>
          <w:sz w:val="22"/>
          <w:szCs w:val="22"/>
        </w:rPr>
        <w:t xml:space="preserve">истовуються або призначені для використання протягом </w:t>
      </w:r>
      <w:r w:rsidRPr="000F37C6">
        <w:rPr>
          <w:sz w:val="22"/>
          <w:szCs w:val="22"/>
        </w:rPr>
        <w:lastRenderedPageBreak/>
        <w:t>менш як чотирьох місяців на рік або протягом обмеженого річного періоду з передбаченим споживанням енергії менш як 25 відсотків тієї кількості, що була б результатом річного використання, зокрема:</w:t>
      </w:r>
    </w:p>
    <w:p w:rsidR="0043242B" w:rsidRPr="000F37C6" w:rsidRDefault="00754013" w:rsidP="000F37C6">
      <w:pPr>
        <w:pStyle w:val="Bodytext20"/>
        <w:shd w:val="clear" w:color="auto" w:fill="auto"/>
        <w:spacing w:line="240" w:lineRule="auto"/>
        <w:ind w:firstLine="42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для ми</w:t>
      </w:r>
      <w:r w:rsidRPr="000F37C6">
        <w:rPr>
          <w:sz w:val="22"/>
          <w:szCs w:val="22"/>
        </w:rPr>
        <w:t>сливства, відновлювання тварин і надання пов’язаних з ними послуг</w:t>
      </w:r>
    </w:p>
    <w:p w:rsidR="0043242B" w:rsidRPr="000F37C6" w:rsidRDefault="00754013" w:rsidP="000F37C6">
      <w:pPr>
        <w:pStyle w:val="Bodytext20"/>
        <w:shd w:val="clear" w:color="auto" w:fill="auto"/>
        <w:spacing w:line="240" w:lineRule="auto"/>
        <w:ind w:firstLine="42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для допоміжної діяльності у сільському господарстві та після</w:t>
      </w:r>
      <w:r w:rsidRPr="000F37C6">
        <w:rPr>
          <w:sz w:val="22"/>
          <w:szCs w:val="22"/>
        </w:rPr>
        <w:t>урожайної діяльності</w:t>
      </w:r>
    </w:p>
    <w:p w:rsidR="0043242B" w:rsidRPr="000F37C6" w:rsidRDefault="00754013" w:rsidP="000F37C6">
      <w:pPr>
        <w:pStyle w:val="Bodytext20"/>
        <w:shd w:val="clear" w:color="auto" w:fill="auto"/>
        <w:spacing w:line="240" w:lineRule="auto"/>
        <w:ind w:left="420" w:firstLine="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>літні будинки для тимчасового проживання, садових будинків туристичні бази та гірські притулки</w:t>
      </w:r>
    </w:p>
    <w:p w:rsidR="0043242B" w:rsidRPr="000F37C6" w:rsidRDefault="00754013" w:rsidP="000F37C6">
      <w:pPr>
        <w:pStyle w:val="Bodytext20"/>
        <w:shd w:val="clear" w:color="auto" w:fill="auto"/>
        <w:spacing w:line="240" w:lineRule="auto"/>
        <w:ind w:firstLine="420"/>
        <w:jc w:val="both"/>
        <w:rPr>
          <w:sz w:val="22"/>
          <w:szCs w:val="22"/>
        </w:rPr>
      </w:pPr>
      <w:r w:rsidRPr="000F37C6">
        <w:rPr>
          <w:sz w:val="22"/>
          <w:szCs w:val="22"/>
        </w:rPr>
        <w:t xml:space="preserve">дитячі та </w:t>
      </w:r>
      <w:r w:rsidRPr="000F37C6">
        <w:rPr>
          <w:sz w:val="22"/>
          <w:szCs w:val="22"/>
        </w:rPr>
        <w:t>сімейні табори відпочинку, будинки відпочинку та інші будівлі для тимчасового проживанн</w:t>
      </w:r>
      <w:r w:rsidR="000F37C6" w:rsidRPr="000F37C6">
        <w:rPr>
          <w:sz w:val="22"/>
          <w:szCs w:val="22"/>
        </w:rPr>
        <w:t>я</w:t>
      </w:r>
      <w:r w:rsidR="000F37C6">
        <w:rPr>
          <w:sz w:val="22"/>
          <w:szCs w:val="22"/>
        </w:rPr>
        <w:t>.</w:t>
      </w:r>
    </w:p>
    <w:sectPr w:rsidR="0043242B" w:rsidRPr="000F37C6" w:rsidSect="000F37C6">
      <w:headerReference w:type="even" r:id="rId7"/>
      <w:pgSz w:w="11900" w:h="16820"/>
      <w:pgMar w:top="1094" w:right="1000" w:bottom="718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13" w:rsidRDefault="00754013">
      <w:r>
        <w:separator/>
      </w:r>
    </w:p>
  </w:endnote>
  <w:endnote w:type="continuationSeparator" w:id="0">
    <w:p w:rsidR="00754013" w:rsidRDefault="0075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13" w:rsidRDefault="00754013"/>
  </w:footnote>
  <w:footnote w:type="continuationSeparator" w:id="0">
    <w:p w:rsidR="00754013" w:rsidRDefault="007540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2B" w:rsidRDefault="007540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17.5pt;margin-top:37.65pt;width:4.55pt;height:10.35pt;z-index:-251658752;mso-wrap-style:non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fit-shape-to-text:t" inset="0,0,0,0">
            <w:txbxContent>
              <w:p w:rsidR="0043242B" w:rsidRDefault="0075401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12558"/>
    <w:multiLevelType w:val="hybridMultilevel"/>
    <w:tmpl w:val="9A0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42B"/>
    <w:rsid w:val="000F37C6"/>
    <w:rsid w:val="0043242B"/>
    <w:rsid w:val="00754013"/>
    <w:rsid w:val="008C6DDF"/>
    <w:rsid w:val="00D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A2AD37"/>
  <w15:docId w15:val="{AAC3DEB3-90DD-3646-9800-956FCF21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TimesNewRoman">
    <w:name w:val="Picture caption + Times New Roman"/>
    <w:aliases w:val="6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4pt">
    <w:name w:val="Heading #2 + 14 pt"/>
    <w:aliases w:val="Bold,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2">
    <w:name w:val="Heading #2 (2)_"/>
    <w:basedOn w:val="DefaultParagraphFont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3">
    <w:name w:val="Heading #2 (3)_"/>
    <w:basedOn w:val="DefaultParagraphFont"/>
    <w:link w:val="Heading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3SmallCaps">
    <w:name w:val="Heading #2 (3) + Small Caps"/>
    <w:basedOn w:val="Heading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Heading23SmallCaps0">
    <w:name w:val="Heading #2 (3) + Small Caps"/>
    <w:basedOn w:val="Heading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94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69" w:lineRule="exact"/>
      <w:ind w:firstLine="4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230">
    <w:name w:val="Heading #2 (3)"/>
    <w:basedOn w:val="Normal"/>
    <w:link w:val="Heading23"/>
    <w:pPr>
      <w:shd w:val="clear" w:color="auto" w:fill="FFFFFF"/>
      <w:spacing w:before="2100" w:line="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901</Words>
  <Characters>5736</Characters>
  <Application>Microsoft Office Word</Application>
  <DocSecurity>0</DocSecurity>
  <Lines>260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Юрій Брикайло</cp:lastModifiedBy>
  <cp:revision>3</cp:revision>
  <dcterms:created xsi:type="dcterms:W3CDTF">2018-04-11T21:29:00Z</dcterms:created>
  <dcterms:modified xsi:type="dcterms:W3CDTF">2018-04-11T21:42:00Z</dcterms:modified>
</cp:coreProperties>
</file>