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355F3" w14:textId="77777777" w:rsidR="00F8311D" w:rsidRPr="00F8311D" w:rsidRDefault="00F8311D" w:rsidP="00F8311D">
      <w:pPr>
        <w:shd w:val="clear" w:color="auto" w:fill="FFFFFF"/>
        <w:spacing w:after="300"/>
        <w:jc w:val="right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t>ПРОЄКТ</w:t>
      </w:r>
    </w:p>
    <w:p w14:paraId="2515359A" w14:textId="77777777" w:rsidR="00F8311D" w:rsidRPr="00F8311D" w:rsidRDefault="00F8311D" w:rsidP="00F8311D">
      <w:pPr>
        <w:shd w:val="clear" w:color="auto" w:fill="FFFFFF"/>
        <w:spacing w:after="300"/>
        <w:jc w:val="center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b/>
          <w:bCs/>
          <w:color w:val="1D1D1B"/>
          <w:sz w:val="27"/>
          <w:szCs w:val="27"/>
        </w:rPr>
        <w:t>КАБІНЕТ МІНІСТРІВ УКРАЇНИ</w:t>
      </w:r>
      <w:r w:rsidRPr="00F8311D">
        <w:rPr>
          <w:rFonts w:ascii="Arial" w:eastAsia="Times New Roman" w:hAnsi="Arial" w:cs="Arial"/>
          <w:b/>
          <w:bCs/>
          <w:color w:val="1D1D1B"/>
          <w:sz w:val="27"/>
          <w:szCs w:val="27"/>
        </w:rPr>
        <w:br/>
        <w:t>ПОСТАНОВА</w:t>
      </w:r>
    </w:p>
    <w:p w14:paraId="39B62532" w14:textId="77777777" w:rsidR="00F8311D" w:rsidRPr="00F8311D" w:rsidRDefault="00F8311D" w:rsidP="00F8311D">
      <w:pPr>
        <w:shd w:val="clear" w:color="auto" w:fill="FFFFFF"/>
        <w:spacing w:after="300"/>
        <w:jc w:val="center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b/>
          <w:bCs/>
          <w:color w:val="1D1D1B"/>
          <w:sz w:val="27"/>
          <w:szCs w:val="27"/>
        </w:rPr>
        <w:t>від «__» ______ 2020 р. № ______</w:t>
      </w:r>
    </w:p>
    <w:p w14:paraId="1BBDB73F" w14:textId="77777777" w:rsidR="00F8311D" w:rsidRPr="00F8311D" w:rsidRDefault="00F8311D" w:rsidP="00F8311D">
      <w:pPr>
        <w:shd w:val="clear" w:color="auto" w:fill="FFFFFF"/>
        <w:spacing w:after="300"/>
        <w:jc w:val="center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b/>
          <w:bCs/>
          <w:color w:val="1D1D1B"/>
          <w:sz w:val="27"/>
          <w:szCs w:val="27"/>
        </w:rPr>
        <w:t>Київ</w:t>
      </w:r>
    </w:p>
    <w:p w14:paraId="582BBBAF" w14:textId="77777777" w:rsidR="00F8311D" w:rsidRPr="00F8311D" w:rsidRDefault="00F8311D" w:rsidP="00F8311D">
      <w:pPr>
        <w:shd w:val="clear" w:color="auto" w:fill="FFFFFF"/>
        <w:spacing w:after="300"/>
        <w:jc w:val="center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b/>
          <w:bCs/>
          <w:color w:val="1D1D1B"/>
          <w:sz w:val="27"/>
          <w:szCs w:val="27"/>
        </w:rPr>
        <w:t>«Про затвердження Порядку присвоєння адрес об’єктам нерухомого майна»</w:t>
      </w:r>
    </w:p>
    <w:p w14:paraId="20CC1393" w14:textId="77777777" w:rsidR="00F8311D" w:rsidRPr="00F8311D" w:rsidRDefault="00F8311D" w:rsidP="00F8311D">
      <w:pPr>
        <w:shd w:val="clear" w:color="auto" w:fill="FFFFFF"/>
        <w:spacing w:after="300"/>
        <w:jc w:val="both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t>Відповідно до частин другої, третьої статті 26</w:t>
      </w:r>
      <w:r w:rsidRPr="00F8311D">
        <w:rPr>
          <w:rFonts w:ascii="Arial" w:eastAsia="Times New Roman" w:hAnsi="Arial" w:cs="Arial"/>
          <w:color w:val="1D1D1B"/>
          <w:sz w:val="20"/>
          <w:szCs w:val="20"/>
          <w:vertAlign w:val="superscript"/>
        </w:rPr>
        <w:t>3</w:t>
      </w:r>
      <w:r w:rsidRPr="00F8311D">
        <w:rPr>
          <w:rFonts w:ascii="Arial" w:eastAsia="Times New Roman" w:hAnsi="Arial" w:cs="Arial"/>
          <w:color w:val="1D1D1B"/>
          <w:sz w:val="27"/>
          <w:szCs w:val="27"/>
        </w:rPr>
        <w:t> Закону України «Про регулювання містобудівної діяльності» Кабінет Міністрів України </w:t>
      </w:r>
      <w:r w:rsidRPr="00F8311D">
        <w:rPr>
          <w:rFonts w:ascii="Arial" w:eastAsia="Times New Roman" w:hAnsi="Arial" w:cs="Arial"/>
          <w:b/>
          <w:bCs/>
          <w:color w:val="1D1D1B"/>
          <w:sz w:val="27"/>
          <w:szCs w:val="27"/>
        </w:rPr>
        <w:t>п о с т а н о в л я є :</w:t>
      </w:r>
    </w:p>
    <w:p w14:paraId="5017B090" w14:textId="77777777" w:rsidR="00F8311D" w:rsidRPr="00F8311D" w:rsidRDefault="00F8311D" w:rsidP="00F8311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t>Затвердити такі, що додаються:</w:t>
      </w:r>
    </w:p>
    <w:p w14:paraId="37DD6D10" w14:textId="77777777" w:rsidR="00F8311D" w:rsidRPr="00F8311D" w:rsidRDefault="00F8311D" w:rsidP="00F8311D">
      <w:pPr>
        <w:shd w:val="clear" w:color="auto" w:fill="FFFFFF"/>
        <w:spacing w:after="300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t>Порядок присвоєння адрес об’єктів нерухомого майна;</w:t>
      </w:r>
    </w:p>
    <w:p w14:paraId="44ADD61B" w14:textId="77777777" w:rsidR="00F8311D" w:rsidRPr="00F8311D" w:rsidRDefault="00F8311D" w:rsidP="00F8311D">
      <w:pPr>
        <w:shd w:val="clear" w:color="auto" w:fill="FFFFFF"/>
        <w:spacing w:after="300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t>Перелік об’єктів нерухомого майна, яким не присвоюється адреса.</w:t>
      </w:r>
    </w:p>
    <w:p w14:paraId="5BFB94BC" w14:textId="77777777" w:rsidR="00F8311D" w:rsidRPr="00F8311D" w:rsidRDefault="00F8311D" w:rsidP="00F8311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t>Внести до постанови Кабінету Міністрів України від 27 березня 2019 року № 367 «Деякі питання дерегуляції господарської діяльності» (Офіційний вісник України, 2019 р., № 36, ст.1260) зміни, що додаються.</w:t>
      </w:r>
    </w:p>
    <w:p w14:paraId="5D85E2B6" w14:textId="77777777" w:rsidR="00F8311D" w:rsidRPr="00F8311D" w:rsidRDefault="00F8311D" w:rsidP="00F8311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t>Міністерству розвитку громад та територій України забезпечити приведення власних нормативно-правових актів у відповідність із цією постановою.</w:t>
      </w:r>
    </w:p>
    <w:p w14:paraId="745747F7" w14:textId="77777777" w:rsidR="00F8311D" w:rsidRPr="00F8311D" w:rsidRDefault="00F8311D" w:rsidP="00F8311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t>Ця постанова набирає чинності з дня, наступного за днем її опублікування.</w:t>
      </w:r>
    </w:p>
    <w:p w14:paraId="5370C57E" w14:textId="77777777" w:rsidR="00F8311D" w:rsidRPr="00F8311D" w:rsidRDefault="00F8311D" w:rsidP="00F8311D">
      <w:pPr>
        <w:shd w:val="clear" w:color="auto" w:fill="FFFFFF"/>
        <w:spacing w:after="300"/>
        <w:jc w:val="both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b/>
          <w:bCs/>
          <w:color w:val="1D1D1B"/>
          <w:sz w:val="27"/>
          <w:szCs w:val="27"/>
        </w:rPr>
        <w:t> </w:t>
      </w:r>
    </w:p>
    <w:p w14:paraId="285548DE" w14:textId="31984C92" w:rsidR="00F8311D" w:rsidRPr="00F8311D" w:rsidRDefault="00F8311D" w:rsidP="00F8311D">
      <w:pPr>
        <w:shd w:val="clear" w:color="auto" w:fill="FFFFFF"/>
        <w:spacing w:after="300"/>
        <w:jc w:val="both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b/>
          <w:bCs/>
          <w:color w:val="1D1D1B"/>
          <w:sz w:val="27"/>
          <w:szCs w:val="27"/>
        </w:rPr>
        <w:t>Прем’єр-міністр України                                                 Денис ШМИГАЛЬ  </w:t>
      </w:r>
    </w:p>
    <w:p w14:paraId="6AD93B2C" w14:textId="77777777" w:rsidR="00F8311D" w:rsidRPr="00F8311D" w:rsidRDefault="00F8311D" w:rsidP="00F8311D">
      <w:pPr>
        <w:shd w:val="clear" w:color="auto" w:fill="FFFFFF"/>
        <w:spacing w:after="300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b/>
          <w:bCs/>
          <w:color w:val="1D1D1B"/>
          <w:sz w:val="27"/>
          <w:szCs w:val="27"/>
        </w:rPr>
        <w:t>м. Київ</w:t>
      </w:r>
    </w:p>
    <w:p w14:paraId="2ABFEE9D" w14:textId="77777777" w:rsidR="00F8311D" w:rsidRPr="00F8311D" w:rsidRDefault="00F8311D" w:rsidP="00F8311D">
      <w:pPr>
        <w:shd w:val="clear" w:color="auto" w:fill="FFFFFF"/>
        <w:spacing w:after="300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b/>
          <w:bCs/>
          <w:color w:val="1D1D1B"/>
          <w:sz w:val="27"/>
          <w:szCs w:val="27"/>
        </w:rPr>
        <w:t>__ _________2020 року</w:t>
      </w:r>
    </w:p>
    <w:p w14:paraId="2031B89B" w14:textId="2D3D5F7F" w:rsidR="00F8311D" w:rsidRDefault="00F8311D" w:rsidP="00F8311D">
      <w:pPr>
        <w:shd w:val="clear" w:color="auto" w:fill="FFFFFF"/>
        <w:spacing w:after="300"/>
        <w:rPr>
          <w:rFonts w:ascii="Arial" w:eastAsia="Times New Roman" w:hAnsi="Arial" w:cs="Arial"/>
          <w:b/>
          <w:bCs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b/>
          <w:bCs/>
          <w:color w:val="1D1D1B"/>
          <w:sz w:val="27"/>
          <w:szCs w:val="27"/>
        </w:rPr>
        <w:t>           № _____</w:t>
      </w:r>
    </w:p>
    <w:p w14:paraId="26854C40" w14:textId="3ABE553B" w:rsidR="00F8311D" w:rsidRDefault="00F8311D" w:rsidP="00F8311D">
      <w:pPr>
        <w:shd w:val="clear" w:color="auto" w:fill="FFFFFF"/>
        <w:spacing w:after="300"/>
        <w:rPr>
          <w:rFonts w:ascii="Arial" w:eastAsia="Times New Roman" w:hAnsi="Arial" w:cs="Arial"/>
          <w:color w:val="1D1D1B"/>
          <w:sz w:val="27"/>
          <w:szCs w:val="27"/>
        </w:rPr>
      </w:pPr>
    </w:p>
    <w:p w14:paraId="32D88A42" w14:textId="77777777" w:rsidR="00F8311D" w:rsidRPr="00F8311D" w:rsidRDefault="00F8311D" w:rsidP="00F8311D">
      <w:pPr>
        <w:shd w:val="clear" w:color="auto" w:fill="FFFFFF"/>
        <w:spacing w:after="300"/>
        <w:rPr>
          <w:rFonts w:ascii="Arial" w:eastAsia="Times New Roman" w:hAnsi="Arial" w:cs="Arial"/>
          <w:color w:val="1D1D1B"/>
          <w:sz w:val="27"/>
          <w:szCs w:val="27"/>
        </w:rPr>
      </w:pPr>
    </w:p>
    <w:p w14:paraId="2E83D54C" w14:textId="77777777" w:rsidR="00F8311D" w:rsidRPr="00F8311D" w:rsidRDefault="00F8311D" w:rsidP="00F8311D">
      <w:pPr>
        <w:shd w:val="clear" w:color="auto" w:fill="FFFFFF"/>
        <w:spacing w:after="300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t> </w:t>
      </w:r>
    </w:p>
    <w:p w14:paraId="129A86ED" w14:textId="77777777" w:rsidR="00F8311D" w:rsidRPr="00F8311D" w:rsidRDefault="00F8311D" w:rsidP="00F8311D">
      <w:pPr>
        <w:shd w:val="clear" w:color="auto" w:fill="FFFFFF"/>
        <w:spacing w:after="300"/>
        <w:jc w:val="right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lastRenderedPageBreak/>
        <w:t>ЗАТВЕРДЖЕНО</w:t>
      </w:r>
    </w:p>
    <w:p w14:paraId="4D36DC0F" w14:textId="77777777" w:rsidR="00F8311D" w:rsidRPr="00F8311D" w:rsidRDefault="00F8311D" w:rsidP="00F8311D">
      <w:pPr>
        <w:shd w:val="clear" w:color="auto" w:fill="FFFFFF"/>
        <w:spacing w:after="300"/>
        <w:jc w:val="right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t>постановою Кабінету Міністрів України</w:t>
      </w:r>
    </w:p>
    <w:p w14:paraId="4CA4FA80" w14:textId="77777777" w:rsidR="00F8311D" w:rsidRPr="00F8311D" w:rsidRDefault="00F8311D" w:rsidP="00F8311D">
      <w:pPr>
        <w:shd w:val="clear" w:color="auto" w:fill="FFFFFF"/>
        <w:spacing w:after="300"/>
        <w:jc w:val="right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t>від «__» _________ 2020 року №______</w:t>
      </w:r>
    </w:p>
    <w:p w14:paraId="702ACC2D" w14:textId="77777777" w:rsidR="00F8311D" w:rsidRPr="00F8311D" w:rsidRDefault="00F8311D" w:rsidP="00F8311D">
      <w:pPr>
        <w:shd w:val="clear" w:color="auto" w:fill="FFFFFF"/>
        <w:spacing w:after="300"/>
        <w:jc w:val="right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b/>
          <w:bCs/>
          <w:color w:val="1D1D1B"/>
          <w:sz w:val="27"/>
          <w:szCs w:val="27"/>
        </w:rPr>
        <w:t> </w:t>
      </w:r>
    </w:p>
    <w:p w14:paraId="34E7C5B9" w14:textId="77777777" w:rsidR="00F8311D" w:rsidRPr="00F8311D" w:rsidRDefault="00F8311D" w:rsidP="00F8311D">
      <w:pPr>
        <w:shd w:val="clear" w:color="auto" w:fill="FFFFFF"/>
        <w:spacing w:after="300"/>
        <w:jc w:val="center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t>ЗМІНИ,</w:t>
      </w:r>
    </w:p>
    <w:p w14:paraId="3A9908EC" w14:textId="77777777" w:rsidR="00F8311D" w:rsidRPr="00F8311D" w:rsidRDefault="00F8311D" w:rsidP="00F8311D">
      <w:pPr>
        <w:shd w:val="clear" w:color="auto" w:fill="FFFFFF"/>
        <w:spacing w:after="300"/>
        <w:jc w:val="center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t>що вносяться до постанови Кабінету Міністрів України</w:t>
      </w:r>
    </w:p>
    <w:p w14:paraId="1BF820DA" w14:textId="77777777" w:rsidR="00F8311D" w:rsidRPr="00F8311D" w:rsidRDefault="00F8311D" w:rsidP="00F8311D">
      <w:pPr>
        <w:shd w:val="clear" w:color="auto" w:fill="FFFFFF"/>
        <w:spacing w:after="300"/>
        <w:jc w:val="center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t>від 27 березня 2019 року № 367 «Деякі питання</w:t>
      </w:r>
    </w:p>
    <w:p w14:paraId="1910F9E1" w14:textId="77777777" w:rsidR="00F8311D" w:rsidRPr="00F8311D" w:rsidRDefault="00F8311D" w:rsidP="00F8311D">
      <w:pPr>
        <w:shd w:val="clear" w:color="auto" w:fill="FFFFFF"/>
        <w:spacing w:after="300"/>
        <w:jc w:val="center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t>дерегуляції господарської діяльності»</w:t>
      </w:r>
    </w:p>
    <w:p w14:paraId="3B4EE66F" w14:textId="77777777" w:rsidR="00F8311D" w:rsidRPr="00F8311D" w:rsidRDefault="00F8311D" w:rsidP="00F8311D">
      <w:pPr>
        <w:shd w:val="clear" w:color="auto" w:fill="FFFFFF"/>
        <w:spacing w:after="300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t>1) Абзац третій пункту 1 виключити;</w:t>
      </w:r>
    </w:p>
    <w:p w14:paraId="5CEB04EB" w14:textId="77777777" w:rsidR="00F8311D" w:rsidRPr="00F8311D" w:rsidRDefault="00F8311D" w:rsidP="00F8311D">
      <w:pPr>
        <w:shd w:val="clear" w:color="auto" w:fill="FFFFFF"/>
        <w:spacing w:after="300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t>2) абзац восьмий пункту 2 виключити;</w:t>
      </w:r>
    </w:p>
    <w:p w14:paraId="3F2887FC" w14:textId="77777777" w:rsidR="00F8311D" w:rsidRPr="00F8311D" w:rsidRDefault="00F8311D" w:rsidP="00F8311D">
      <w:pPr>
        <w:shd w:val="clear" w:color="auto" w:fill="FFFFFF"/>
        <w:spacing w:after="300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t>3) підпункти 3, 5 пункту 6 виключити;</w:t>
      </w:r>
    </w:p>
    <w:p w14:paraId="10F59582" w14:textId="77777777" w:rsidR="00F8311D" w:rsidRPr="00F8311D" w:rsidRDefault="00F8311D" w:rsidP="00F8311D">
      <w:pPr>
        <w:shd w:val="clear" w:color="auto" w:fill="FFFFFF"/>
        <w:spacing w:after="300"/>
        <w:jc w:val="both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t>4) визнати таким, що втратив чинність, Тимчасовий порядок реалізації експериментального проекту з присвоєння адрес об’єктам будівництва та об’єктам нерухомого майна.</w:t>
      </w:r>
    </w:p>
    <w:p w14:paraId="3875503A" w14:textId="77777777" w:rsidR="00F8311D" w:rsidRPr="00F8311D" w:rsidRDefault="00F8311D" w:rsidP="00F8311D">
      <w:pPr>
        <w:shd w:val="clear" w:color="auto" w:fill="FFFFFF"/>
        <w:spacing w:after="300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t> </w:t>
      </w:r>
    </w:p>
    <w:p w14:paraId="07939D29" w14:textId="77777777" w:rsidR="00F8311D" w:rsidRPr="00F8311D" w:rsidRDefault="00F8311D" w:rsidP="00F8311D">
      <w:pPr>
        <w:shd w:val="clear" w:color="auto" w:fill="FFFFFF"/>
        <w:spacing w:after="300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t> </w:t>
      </w:r>
    </w:p>
    <w:p w14:paraId="4500EA70" w14:textId="77777777" w:rsidR="00F8311D" w:rsidRPr="00F8311D" w:rsidRDefault="00F8311D" w:rsidP="00F8311D">
      <w:pPr>
        <w:shd w:val="clear" w:color="auto" w:fill="FFFFFF"/>
        <w:spacing w:after="300"/>
        <w:jc w:val="right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t>ЗАТВЕРДЖЕНО</w:t>
      </w:r>
    </w:p>
    <w:p w14:paraId="4A11B03C" w14:textId="3183A426" w:rsidR="00F8311D" w:rsidRPr="00F8311D" w:rsidRDefault="00F8311D" w:rsidP="00F8311D">
      <w:pPr>
        <w:shd w:val="clear" w:color="auto" w:fill="FFFFFF"/>
        <w:spacing w:after="300"/>
        <w:jc w:val="right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t>постановою Кабінету Міністрів України </w:t>
      </w:r>
    </w:p>
    <w:p w14:paraId="361F51E8" w14:textId="6920FC80" w:rsidR="00F8311D" w:rsidRPr="00F8311D" w:rsidRDefault="00F8311D" w:rsidP="00F8311D">
      <w:pPr>
        <w:shd w:val="clear" w:color="auto" w:fill="FFFFFF"/>
        <w:spacing w:after="300"/>
        <w:jc w:val="right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t>від «__» _________ 2020 року №______ </w:t>
      </w:r>
    </w:p>
    <w:p w14:paraId="6A95FDA2" w14:textId="77777777" w:rsidR="00F8311D" w:rsidRPr="00F8311D" w:rsidRDefault="00F8311D" w:rsidP="00F8311D">
      <w:pPr>
        <w:shd w:val="clear" w:color="auto" w:fill="FFFFFF"/>
        <w:spacing w:after="300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t> </w:t>
      </w:r>
    </w:p>
    <w:p w14:paraId="17300D37" w14:textId="77777777" w:rsidR="00F8311D" w:rsidRPr="00F8311D" w:rsidRDefault="00F8311D" w:rsidP="00F8311D">
      <w:pPr>
        <w:shd w:val="clear" w:color="auto" w:fill="FFFFFF"/>
        <w:spacing w:after="300"/>
        <w:jc w:val="center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b/>
          <w:bCs/>
          <w:color w:val="1D1D1B"/>
          <w:sz w:val="27"/>
          <w:szCs w:val="27"/>
        </w:rPr>
        <w:t>ПОРЯДОК</w:t>
      </w:r>
    </w:p>
    <w:p w14:paraId="70B046B4" w14:textId="51273B76" w:rsidR="00F8311D" w:rsidRPr="00F8311D" w:rsidRDefault="00F8311D" w:rsidP="00F8311D">
      <w:pPr>
        <w:shd w:val="clear" w:color="auto" w:fill="FFFFFF"/>
        <w:spacing w:after="300"/>
        <w:jc w:val="center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b/>
          <w:bCs/>
          <w:color w:val="1D1D1B"/>
          <w:sz w:val="27"/>
          <w:szCs w:val="27"/>
        </w:rPr>
        <w:t>присвоєння адрес об’єктів нерухомого майна</w:t>
      </w:r>
    </w:p>
    <w:p w14:paraId="35956D97" w14:textId="77777777" w:rsidR="00F8311D" w:rsidRPr="00F8311D" w:rsidRDefault="00F8311D" w:rsidP="00F8311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b/>
          <w:bCs/>
          <w:color w:val="1D1D1B"/>
          <w:sz w:val="27"/>
          <w:szCs w:val="27"/>
        </w:rPr>
        <w:t>Загальні положення</w:t>
      </w:r>
    </w:p>
    <w:p w14:paraId="4099F99F" w14:textId="77777777" w:rsidR="00F8311D" w:rsidRPr="00F8311D" w:rsidRDefault="00F8311D" w:rsidP="00F8311D">
      <w:pPr>
        <w:shd w:val="clear" w:color="auto" w:fill="FFFFFF"/>
        <w:spacing w:after="300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t> </w:t>
      </w:r>
    </w:p>
    <w:p w14:paraId="6E0A1257" w14:textId="77777777" w:rsidR="00F8311D" w:rsidRPr="00F8311D" w:rsidRDefault="00F8311D" w:rsidP="00F8311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t xml:space="preserve">Цей Порядок визначає процедуру здійснення уповноваженими органами дій із присвоєння, зміни, коригування адрес об’єктам </w:t>
      </w:r>
      <w:r w:rsidRPr="00F8311D">
        <w:rPr>
          <w:rFonts w:ascii="Arial" w:eastAsia="Times New Roman" w:hAnsi="Arial" w:cs="Arial"/>
          <w:color w:val="1D1D1B"/>
          <w:sz w:val="27"/>
          <w:szCs w:val="27"/>
        </w:rPr>
        <w:lastRenderedPageBreak/>
        <w:t>будівництва, будинкам, будівлям, спорудам, квартирам, гаражним боксам, машиномісцям, іншим житловим та нежитловим приміщенням, які є самостійними об’єктами нерухомого майна.</w:t>
      </w:r>
    </w:p>
    <w:p w14:paraId="136E7BAF" w14:textId="77777777" w:rsidR="00F8311D" w:rsidRPr="00F8311D" w:rsidRDefault="00F8311D" w:rsidP="00F8311D">
      <w:pPr>
        <w:shd w:val="clear" w:color="auto" w:fill="FFFFFF"/>
        <w:spacing w:after="300"/>
        <w:jc w:val="both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t>Органи, що уповноважені на присвоєння, зміну, коригування, анулювання адрес об’єктів будівництва, об’єктів нерухомого майна, визначаються відповідно частини п’ятої статті 26</w:t>
      </w:r>
      <w:r w:rsidRPr="00F8311D">
        <w:rPr>
          <w:rFonts w:ascii="Arial" w:eastAsia="Times New Roman" w:hAnsi="Arial" w:cs="Arial"/>
          <w:color w:val="1D1D1B"/>
          <w:sz w:val="20"/>
          <w:szCs w:val="20"/>
          <w:vertAlign w:val="superscript"/>
        </w:rPr>
        <w:t>3</w:t>
      </w:r>
      <w:r w:rsidRPr="00F8311D">
        <w:rPr>
          <w:rFonts w:ascii="Arial" w:eastAsia="Times New Roman" w:hAnsi="Arial" w:cs="Arial"/>
          <w:color w:val="1D1D1B"/>
          <w:sz w:val="27"/>
          <w:szCs w:val="27"/>
        </w:rPr>
        <w:t> Закону України «Про регулювання містобудівної діяльності».</w:t>
      </w:r>
    </w:p>
    <w:p w14:paraId="58A91C7A" w14:textId="356CD10C" w:rsidR="00F8311D" w:rsidRPr="00F8311D" w:rsidRDefault="00F8311D" w:rsidP="00F8311D">
      <w:pPr>
        <w:shd w:val="clear" w:color="auto" w:fill="FFFFFF"/>
        <w:spacing w:after="300"/>
        <w:jc w:val="both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t>Перелік об’єктів, яким не присвоюється адреса об’єктів будівництва, об’єктів нерухомого майна, наведений у додатку до Порядку.</w:t>
      </w:r>
    </w:p>
    <w:p w14:paraId="6AB65F3E" w14:textId="77777777" w:rsidR="00F8311D" w:rsidRPr="00F8311D" w:rsidRDefault="00F8311D" w:rsidP="00F8311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t>У цьому Порядку терміни вживаються у такому значенні:</w:t>
      </w:r>
    </w:p>
    <w:p w14:paraId="7170AF14" w14:textId="77777777" w:rsidR="00F8311D" w:rsidRPr="00F8311D" w:rsidRDefault="00F8311D" w:rsidP="00F8311D">
      <w:pPr>
        <w:shd w:val="clear" w:color="auto" w:fill="FFFFFF"/>
        <w:spacing w:after="300"/>
        <w:jc w:val="both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t>адреса – адреса об’єктів будівництва, об’єктів нерухомого майна, що визначена частиною першою статті 26</w:t>
      </w:r>
      <w:r w:rsidRPr="00F8311D">
        <w:rPr>
          <w:rFonts w:ascii="Arial" w:eastAsia="Times New Roman" w:hAnsi="Arial" w:cs="Arial"/>
          <w:color w:val="1D1D1B"/>
          <w:sz w:val="20"/>
          <w:szCs w:val="20"/>
          <w:vertAlign w:val="superscript"/>
        </w:rPr>
        <w:t>3</w:t>
      </w:r>
      <w:r w:rsidRPr="00F8311D">
        <w:rPr>
          <w:rFonts w:ascii="Arial" w:eastAsia="Times New Roman" w:hAnsi="Arial" w:cs="Arial"/>
          <w:color w:val="1D1D1B"/>
          <w:sz w:val="27"/>
          <w:szCs w:val="27"/>
        </w:rPr>
        <w:t> Закону України «Про регулювання містобудівної діяльності»;</w:t>
      </w:r>
    </w:p>
    <w:p w14:paraId="0AF97F24" w14:textId="77777777" w:rsidR="00F8311D" w:rsidRPr="00F8311D" w:rsidRDefault="00F8311D" w:rsidP="00F8311D">
      <w:pPr>
        <w:shd w:val="clear" w:color="auto" w:fill="FFFFFF"/>
        <w:spacing w:after="300"/>
        <w:jc w:val="both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t>об’єкти будівництва, об’єкти нерухомого майна – об’єкти будівництва, будинки, будівлі, споруди, квартири, гаражні бокси, машиномісця, інші житловим та нежитловим приміщенням, які є самостійними об’єктами нерухомого майна;</w:t>
      </w:r>
    </w:p>
    <w:p w14:paraId="208F38B5" w14:textId="77777777" w:rsidR="00F8311D" w:rsidRPr="00F8311D" w:rsidRDefault="00F8311D" w:rsidP="00F8311D">
      <w:pPr>
        <w:shd w:val="clear" w:color="auto" w:fill="FFFFFF"/>
        <w:spacing w:after="300"/>
        <w:jc w:val="both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t>вбудовані приміщення – приміщення, що є частиною внутрішнього об’єму будівлі;</w:t>
      </w:r>
    </w:p>
    <w:p w14:paraId="317F4D2C" w14:textId="77777777" w:rsidR="00F8311D" w:rsidRPr="00F8311D" w:rsidRDefault="00F8311D" w:rsidP="00F8311D">
      <w:pPr>
        <w:shd w:val="clear" w:color="auto" w:fill="FFFFFF"/>
        <w:spacing w:after="300"/>
        <w:jc w:val="both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t>вбудовано-прибудовані приміщення – приміщення, частина внутрішнього об’єму яких є частиною внутрішнього об’єму основної будівлі, а інша частина – прибудованою;</w:t>
      </w:r>
    </w:p>
    <w:p w14:paraId="7BC06D84" w14:textId="77777777" w:rsidR="00F8311D" w:rsidRPr="00F8311D" w:rsidRDefault="00F8311D" w:rsidP="00F8311D">
      <w:pPr>
        <w:shd w:val="clear" w:color="auto" w:fill="FFFFFF"/>
        <w:spacing w:after="300"/>
        <w:jc w:val="both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t>прибудовані приміщення – приміщення, що прибудовані до основної будівлі та мають з нею хоча б одну спільну стіну;</w:t>
      </w:r>
    </w:p>
    <w:p w14:paraId="20366DAC" w14:textId="77777777" w:rsidR="00F8311D" w:rsidRPr="00F8311D" w:rsidRDefault="00F8311D" w:rsidP="00F8311D">
      <w:pPr>
        <w:shd w:val="clear" w:color="auto" w:fill="FFFFFF"/>
        <w:spacing w:after="300"/>
        <w:jc w:val="both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t>об’єкт – об’єкт будівництва, об’єкт нерухомого майна;</w:t>
      </w:r>
    </w:p>
    <w:p w14:paraId="631A17C1" w14:textId="77777777" w:rsidR="00F8311D" w:rsidRPr="00F8311D" w:rsidRDefault="00F8311D" w:rsidP="00F8311D">
      <w:pPr>
        <w:shd w:val="clear" w:color="auto" w:fill="FFFFFF"/>
        <w:spacing w:after="300"/>
        <w:jc w:val="both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t>назва іменованого об’єкта – гідрографічного, соціально-економічного, природно-заповідного або іншого подібного об’єкта;</w:t>
      </w:r>
    </w:p>
    <w:p w14:paraId="7B0E30C2" w14:textId="77777777" w:rsidR="00F8311D" w:rsidRPr="00F8311D" w:rsidRDefault="00F8311D" w:rsidP="00F8311D">
      <w:pPr>
        <w:shd w:val="clear" w:color="auto" w:fill="FFFFFF"/>
        <w:spacing w:after="300"/>
        <w:jc w:val="both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t>реквізити адреси – складові адреси, що у своїй сукупності складають унікальний ідентифікатор об’єкта будівництва, об’єкта нерухомого майна та визначають місце його розташування на місцевості.</w:t>
      </w:r>
    </w:p>
    <w:p w14:paraId="6A718706" w14:textId="77777777" w:rsidR="00F8311D" w:rsidRPr="00F8311D" w:rsidRDefault="00F8311D" w:rsidP="00F8311D">
      <w:pPr>
        <w:shd w:val="clear" w:color="auto" w:fill="FFFFFF"/>
        <w:spacing w:after="300"/>
        <w:jc w:val="both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t>Терміни «адреса об’єкта будівництва», «адреса об’єкта нерухомого майна» вживаються у значеннях, наведених у частинах першій, третій статті 26</w:t>
      </w:r>
      <w:r w:rsidRPr="00F8311D">
        <w:rPr>
          <w:rFonts w:ascii="Arial" w:eastAsia="Times New Roman" w:hAnsi="Arial" w:cs="Arial"/>
          <w:color w:val="1D1D1B"/>
          <w:sz w:val="20"/>
          <w:szCs w:val="20"/>
          <w:vertAlign w:val="superscript"/>
        </w:rPr>
        <w:t>3</w:t>
      </w:r>
      <w:r w:rsidRPr="00F8311D">
        <w:rPr>
          <w:rFonts w:ascii="Arial" w:eastAsia="Times New Roman" w:hAnsi="Arial" w:cs="Arial"/>
          <w:color w:val="1D1D1B"/>
          <w:sz w:val="27"/>
          <w:szCs w:val="27"/>
        </w:rPr>
        <w:t> Закону України «Про регулювання містобудівної діяльності».</w:t>
      </w:r>
    </w:p>
    <w:p w14:paraId="2055D776" w14:textId="77777777" w:rsidR="00F8311D" w:rsidRPr="00F8311D" w:rsidRDefault="00F8311D" w:rsidP="00F8311D">
      <w:pPr>
        <w:shd w:val="clear" w:color="auto" w:fill="FFFFFF"/>
        <w:spacing w:after="300"/>
        <w:jc w:val="both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lastRenderedPageBreak/>
        <w:t>Термін «інформаційні ресурси системи містобудівного кадастру» вживається у значенні, наведеному у Положенні про містобудівний кадастр, затвердженому постановою Кабінету Міністрів України від 25 травня 2011 року № 559.</w:t>
      </w:r>
    </w:p>
    <w:p w14:paraId="23774EA7" w14:textId="1E9A871D" w:rsidR="00F8311D" w:rsidRPr="00F8311D" w:rsidRDefault="00F8311D" w:rsidP="00F8311D">
      <w:pPr>
        <w:shd w:val="clear" w:color="auto" w:fill="FFFFFF"/>
        <w:spacing w:after="300"/>
        <w:jc w:val="both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t>Термін «блоковані будинки» вживається у значенні, наведеному в Інструкції про порядок проведення технічної інвентаризації об’єктів нерухомого майна, затвердженій наказом Державного комітету будівництва, архітектури та житлової політики України від 24 травня 2001 року № 127, зареєстрованій у Міністерстві юстиції України 10 липня 2001 року за № 582/5773 (у редакції наказу Мінрегіону від 26 липня 2018 року № 186, зареєстрованого в Міністерстві юстиції України 20 грудня 2018 року за № 1442/32894).</w:t>
      </w:r>
    </w:p>
    <w:p w14:paraId="33111C5C" w14:textId="77777777" w:rsidR="00F8311D" w:rsidRPr="00F8311D" w:rsidRDefault="00F8311D" w:rsidP="00F8311D">
      <w:pPr>
        <w:shd w:val="clear" w:color="auto" w:fill="FFFFFF"/>
        <w:spacing w:after="300"/>
        <w:jc w:val="center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b/>
          <w:bCs/>
          <w:color w:val="1D1D1B"/>
          <w:sz w:val="27"/>
          <w:szCs w:val="27"/>
        </w:rPr>
        <w:t>ІІ. Порядок подання документів для присвоєння, зміни,</w:t>
      </w:r>
    </w:p>
    <w:p w14:paraId="0295F71B" w14:textId="27902150" w:rsidR="00F8311D" w:rsidRPr="00F8311D" w:rsidRDefault="00F8311D" w:rsidP="00F8311D">
      <w:pPr>
        <w:shd w:val="clear" w:color="auto" w:fill="FFFFFF"/>
        <w:spacing w:after="300"/>
        <w:jc w:val="center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b/>
          <w:bCs/>
          <w:color w:val="1D1D1B"/>
          <w:sz w:val="27"/>
          <w:szCs w:val="27"/>
        </w:rPr>
        <w:t>корегування, анулювання адреси та строки їх розгляду</w:t>
      </w:r>
    </w:p>
    <w:p w14:paraId="764A810D" w14:textId="5260ED95" w:rsidR="00F8311D" w:rsidRPr="00F8311D" w:rsidRDefault="00F8311D" w:rsidP="00F8311D">
      <w:pPr>
        <w:shd w:val="clear" w:color="auto" w:fill="FFFFFF"/>
        <w:spacing w:after="300"/>
        <w:jc w:val="both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t>Перелік документів, що подаються для присвоєння, зміни, корегування, анулювання адреси, строки їх розгляду, підстави відмови у присвоєнні адреси визначаються відповідно до положень статей 26</w:t>
      </w:r>
      <w:r w:rsidRPr="00F8311D">
        <w:rPr>
          <w:rFonts w:ascii="Arial" w:eastAsia="Times New Roman" w:hAnsi="Arial" w:cs="Arial"/>
          <w:color w:val="1D1D1B"/>
          <w:sz w:val="20"/>
          <w:szCs w:val="20"/>
          <w:vertAlign w:val="superscript"/>
        </w:rPr>
        <w:t>3</w:t>
      </w:r>
      <w:r w:rsidRPr="00F8311D">
        <w:rPr>
          <w:rFonts w:ascii="Arial" w:eastAsia="Times New Roman" w:hAnsi="Arial" w:cs="Arial"/>
          <w:color w:val="1D1D1B"/>
          <w:sz w:val="27"/>
          <w:szCs w:val="27"/>
        </w:rPr>
        <w:t>, 26</w:t>
      </w:r>
      <w:r w:rsidRPr="00F8311D">
        <w:rPr>
          <w:rFonts w:ascii="Arial" w:eastAsia="Times New Roman" w:hAnsi="Arial" w:cs="Arial"/>
          <w:color w:val="1D1D1B"/>
          <w:sz w:val="20"/>
          <w:szCs w:val="20"/>
          <w:vertAlign w:val="superscript"/>
        </w:rPr>
        <w:t>4</w:t>
      </w:r>
      <w:r w:rsidRPr="00F8311D">
        <w:rPr>
          <w:rFonts w:ascii="Arial" w:eastAsia="Times New Roman" w:hAnsi="Arial" w:cs="Arial"/>
          <w:color w:val="1D1D1B"/>
          <w:sz w:val="27"/>
          <w:szCs w:val="27"/>
        </w:rPr>
        <w:t>, 26</w:t>
      </w:r>
      <w:r w:rsidRPr="00F8311D">
        <w:rPr>
          <w:rFonts w:ascii="Arial" w:eastAsia="Times New Roman" w:hAnsi="Arial" w:cs="Arial"/>
          <w:color w:val="1D1D1B"/>
          <w:sz w:val="20"/>
          <w:szCs w:val="20"/>
          <w:vertAlign w:val="superscript"/>
        </w:rPr>
        <w:t>5</w:t>
      </w:r>
      <w:r w:rsidRPr="00F8311D">
        <w:rPr>
          <w:rFonts w:ascii="Arial" w:eastAsia="Times New Roman" w:hAnsi="Arial" w:cs="Arial"/>
          <w:color w:val="1D1D1B"/>
          <w:sz w:val="27"/>
          <w:szCs w:val="27"/>
        </w:rPr>
        <w:t> Закону України «Про регулювання містобудівної діяльності».</w:t>
      </w:r>
    </w:p>
    <w:p w14:paraId="467D7D55" w14:textId="41DBE1D9" w:rsidR="00F8311D" w:rsidRPr="00F8311D" w:rsidRDefault="00F8311D" w:rsidP="00F8311D">
      <w:pPr>
        <w:shd w:val="clear" w:color="auto" w:fill="FFFFFF"/>
        <w:spacing w:after="300"/>
        <w:jc w:val="center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b/>
          <w:bCs/>
          <w:color w:val="1D1D1B"/>
          <w:sz w:val="27"/>
          <w:szCs w:val="27"/>
        </w:rPr>
        <w:t>ІІІ. Визначення реквізитів «назва держави», «назва адміністративно-територіальної одиниці», «назва району», «назва населеного пункту», «назва селищної та сільської ради»</w:t>
      </w:r>
    </w:p>
    <w:p w14:paraId="00ECA2FE" w14:textId="3FA4B4CB" w:rsidR="00F8311D" w:rsidRPr="00F8311D" w:rsidRDefault="00F8311D" w:rsidP="00F8311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t>Назва держави – Україна.</w:t>
      </w:r>
    </w:p>
    <w:p w14:paraId="5241F14B" w14:textId="359A2FD7" w:rsidR="00F8311D" w:rsidRPr="00F8311D" w:rsidRDefault="00F8311D" w:rsidP="00F8311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t>Назва адміністративно-територіальної одиниці (Автономна Республіка Крим; область, міста Київ та Севастополь) визначається відповідно до частини другої статті 133 Конституції України.</w:t>
      </w:r>
    </w:p>
    <w:p w14:paraId="18513430" w14:textId="1245B602" w:rsidR="00F8311D" w:rsidRPr="00F8311D" w:rsidRDefault="00F8311D" w:rsidP="00F8311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t>Назви району (для населених пунктів районного підпорядкування), населеного пункту, сільської ради визначаються відповідно до Класифікатора об’єктів адміністративно-територіального устрою України, затвердженого наказом Державного комітету статистики України від 31 жовтня 1997 року № 659 (із змінами) (далі – Класифікатор).</w:t>
      </w:r>
    </w:p>
    <w:p w14:paraId="3E3375FD" w14:textId="77D83192" w:rsidR="00F8311D" w:rsidRPr="00F8311D" w:rsidRDefault="00F8311D" w:rsidP="00F8311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t>Назва селищної ради визначається виходячи з назви селища згідно з Класифікатором.</w:t>
      </w:r>
    </w:p>
    <w:p w14:paraId="2334D85B" w14:textId="75ACCF63" w:rsidR="00F8311D" w:rsidRPr="00F8311D" w:rsidRDefault="00F8311D" w:rsidP="00F8311D">
      <w:pPr>
        <w:shd w:val="clear" w:color="auto" w:fill="FFFFFF"/>
        <w:spacing w:after="300"/>
        <w:jc w:val="center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b/>
          <w:bCs/>
          <w:color w:val="1D1D1B"/>
          <w:sz w:val="27"/>
          <w:szCs w:val="27"/>
        </w:rPr>
        <w:t>IV. Визначення реквізиту адреси «назва поіменованого об’єкта»</w:t>
      </w:r>
    </w:p>
    <w:p w14:paraId="309F3F13" w14:textId="18D41076" w:rsidR="00F8311D" w:rsidRPr="00F8311D" w:rsidRDefault="00F8311D" w:rsidP="00F8311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t xml:space="preserve">Назва поіменованого об’єкта використовується у разі, якщо ідентифікувати об’єкт без вказівки на таку назву є неможливим або </w:t>
      </w:r>
      <w:r w:rsidRPr="00F8311D">
        <w:rPr>
          <w:rFonts w:ascii="Arial" w:eastAsia="Times New Roman" w:hAnsi="Arial" w:cs="Arial"/>
          <w:color w:val="1D1D1B"/>
          <w:sz w:val="27"/>
          <w:szCs w:val="27"/>
        </w:rPr>
        <w:lastRenderedPageBreak/>
        <w:t>використання назви поіменованого об’єкта в адресі об’єкта визнано необхідним з інших причин (наприклад, для об’єкта, що розташований за межами населеного пункту, в межах поіменованого об’єкта або поблизу нього, за відсутності назви вулиці).</w:t>
      </w:r>
    </w:p>
    <w:p w14:paraId="02C0781D" w14:textId="59CA0448" w:rsidR="00F8311D" w:rsidRPr="00F8311D" w:rsidRDefault="00F8311D" w:rsidP="00F8311D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t>Для визначення назви поіменованого об’єкта використовуються інформаційні ресурси системи містобудівного кадастру (за наявності).</w:t>
      </w:r>
    </w:p>
    <w:p w14:paraId="2CCCAF8D" w14:textId="77777777" w:rsidR="00F8311D" w:rsidRPr="00F8311D" w:rsidRDefault="00F8311D" w:rsidP="00F8311D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t>Назва поіменованого об’єкта в адресі зазначається перед назвою вулиці. Якщо у складі поіменованого об’єкта вулиця відсутня, то назва вулиці не зазначається.</w:t>
      </w:r>
    </w:p>
    <w:p w14:paraId="5B305465" w14:textId="3C0F9BEC" w:rsidR="00F8311D" w:rsidRPr="00F8311D" w:rsidRDefault="00F8311D" w:rsidP="00F8311D">
      <w:pPr>
        <w:shd w:val="clear" w:color="auto" w:fill="FFFFFF"/>
        <w:spacing w:after="300"/>
        <w:jc w:val="center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b/>
          <w:bCs/>
          <w:color w:val="1D1D1B"/>
          <w:sz w:val="27"/>
          <w:szCs w:val="27"/>
        </w:rPr>
        <w:t>V. Визначення реквізиту адреси «назва вулиці»</w:t>
      </w:r>
    </w:p>
    <w:p w14:paraId="68227F2E" w14:textId="77777777" w:rsidR="00F8311D" w:rsidRPr="00F8311D" w:rsidRDefault="00F8311D" w:rsidP="00F8311D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t>Назва вулиці складається з типу (вулиця, площа, майдан, набережна, шосе, тупик, бульвар, проспект, просіка, алея, провулок, проїзд, узвіз, шлях, лінія, роз’їзд тощо) та власної назви.</w:t>
      </w:r>
    </w:p>
    <w:p w14:paraId="5E546D9F" w14:textId="41809555" w:rsidR="00F8311D" w:rsidRPr="00F8311D" w:rsidRDefault="00F8311D" w:rsidP="00F8311D">
      <w:pPr>
        <w:shd w:val="clear" w:color="auto" w:fill="FFFFFF"/>
        <w:spacing w:after="300"/>
        <w:jc w:val="both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t>У випадку розташування об’єкта за межами населеного пункту назва вулиці може бути відсутня.</w:t>
      </w:r>
    </w:p>
    <w:p w14:paraId="67FE5A9B" w14:textId="77777777" w:rsidR="00F8311D" w:rsidRPr="00F8311D" w:rsidRDefault="00F8311D" w:rsidP="00F8311D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t>Назва вулиці зазначається в адресі таким чином: спочатку вказується один із типів вулиці, а потім її назва.</w:t>
      </w:r>
    </w:p>
    <w:p w14:paraId="23E6D117" w14:textId="77777777" w:rsidR="00F8311D" w:rsidRPr="00F8311D" w:rsidRDefault="00F8311D" w:rsidP="00F8311D">
      <w:pPr>
        <w:shd w:val="clear" w:color="auto" w:fill="FFFFFF"/>
        <w:spacing w:after="300"/>
        <w:jc w:val="both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t>Назви вулиць, які складаються з імені та прізвища, зазначаються в адресі таким чином: спочатку – ім’я, а потім – прізвище.</w:t>
      </w:r>
    </w:p>
    <w:p w14:paraId="68F01E98" w14:textId="77777777" w:rsidR="00F8311D" w:rsidRPr="00F8311D" w:rsidRDefault="00F8311D" w:rsidP="00F8311D">
      <w:pPr>
        <w:shd w:val="clear" w:color="auto" w:fill="FFFFFF"/>
        <w:spacing w:after="300"/>
        <w:jc w:val="both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t>Назви вулиць, які походять від псевдонімів, зазначаються в звичайному порядку.</w:t>
      </w:r>
    </w:p>
    <w:p w14:paraId="4F5487F2" w14:textId="5A52D2A2" w:rsidR="00F8311D" w:rsidRPr="00F8311D" w:rsidRDefault="00F8311D" w:rsidP="00F8311D">
      <w:pPr>
        <w:shd w:val="clear" w:color="auto" w:fill="FFFFFF"/>
        <w:spacing w:after="300"/>
        <w:jc w:val="both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t>Назви вулиць, які складаються із звання та прізвища, зазначаються в адресі таким чином: спочатку – звання, а потім – прізвище.</w:t>
      </w:r>
    </w:p>
    <w:p w14:paraId="31AB7687" w14:textId="54275E72" w:rsidR="00F8311D" w:rsidRPr="00F8311D" w:rsidRDefault="00F8311D" w:rsidP="00F8311D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t>Для визначення назви вулиці використовуються інформаційні ресурси системи містобудівного кадастру (за наявності).</w:t>
      </w:r>
    </w:p>
    <w:p w14:paraId="7AF4C74B" w14:textId="5D4956E5" w:rsidR="00F8311D" w:rsidRPr="00F8311D" w:rsidRDefault="00F8311D" w:rsidP="00F8311D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t>Назва вулиці об’єкта, що розташований на перетині вулиць різних категорій, визначається за вулицею більш високої категорії.</w:t>
      </w:r>
    </w:p>
    <w:p w14:paraId="44F042B7" w14:textId="124326FD" w:rsidR="00F8311D" w:rsidRPr="00F8311D" w:rsidRDefault="00F8311D" w:rsidP="00F8311D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t>Назва вулиці об’єкта, що розташований на перетині вулиць рівних категорій, визначається за вулицею, на яку виходить головний фасад.</w:t>
      </w:r>
    </w:p>
    <w:p w14:paraId="3337330E" w14:textId="44CCD88A" w:rsidR="00F8311D" w:rsidRPr="00F8311D" w:rsidRDefault="00F8311D" w:rsidP="00F8311D">
      <w:pPr>
        <w:shd w:val="clear" w:color="auto" w:fill="FFFFFF"/>
        <w:spacing w:after="300"/>
        <w:jc w:val="center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b/>
          <w:bCs/>
          <w:color w:val="1D1D1B"/>
          <w:sz w:val="27"/>
          <w:szCs w:val="27"/>
        </w:rPr>
        <w:t>VI. Визначення реквізитів адреси «номер об’єкта (групи будівель та споруд підприємства (як єдиного майнового комплексу), будівлі, споруди)», «номер корпусу об’єкта»</w:t>
      </w:r>
    </w:p>
    <w:p w14:paraId="67AE7A26" w14:textId="77777777" w:rsidR="00F8311D" w:rsidRPr="00F8311D" w:rsidRDefault="00F8311D" w:rsidP="00F8311D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t>Для нумерації об’єктів використовуються арабські цифри. Номер об’єкта, крім цифр, може містити літеру.</w:t>
      </w:r>
    </w:p>
    <w:p w14:paraId="2B90EA62" w14:textId="77777777" w:rsidR="00F8311D" w:rsidRPr="00F8311D" w:rsidRDefault="00F8311D" w:rsidP="00F8311D">
      <w:pPr>
        <w:shd w:val="clear" w:color="auto" w:fill="FFFFFF"/>
        <w:spacing w:after="300"/>
        <w:jc w:val="both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lastRenderedPageBreak/>
        <w:t>Для вказівки літер використовуються великі літери українського алфавіту в такій послідовності: «А», «Б», «В», «Г», «Д», «Е», «Є», «Ж», «З», «И», «I», «К», «Л», «М», «Н», «О», «П», «Р», «С», «Т», «У», «Ф», «Х», «Ц», «Ч», «Ш», «Ю», «Я».</w:t>
      </w:r>
    </w:p>
    <w:p w14:paraId="5012B5D6" w14:textId="46C4DE7B" w:rsidR="00F8311D" w:rsidRPr="00F8311D" w:rsidRDefault="00F8311D" w:rsidP="00F8311D">
      <w:pPr>
        <w:shd w:val="clear" w:color="auto" w:fill="FFFFFF"/>
        <w:spacing w:after="300"/>
        <w:jc w:val="both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t>Літера вказується після номера через дефіс.</w:t>
      </w:r>
    </w:p>
    <w:p w14:paraId="60B88A01" w14:textId="729A1DC7" w:rsidR="00F8311D" w:rsidRPr="00F8311D" w:rsidRDefault="00F8311D" w:rsidP="00F8311D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t>До адреси декількох об’єктів під одним номером, для об’єктів, що складаються із декількох корпусів, додається номер корпуса, який позначається арабською цифрою через пробіл після слова «корпус» (наприклад «№ 12, корпус 1»).</w:t>
      </w:r>
    </w:p>
    <w:p w14:paraId="02E16791" w14:textId="69F9EEAF" w:rsidR="00F8311D" w:rsidRPr="00F8311D" w:rsidRDefault="00F8311D" w:rsidP="00F8311D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t>Нумерація об’єктів, фасад яких виходить на вулицю, здійснюється послідовно з початковою нумерацією від центру населеного пункту з непарними номерами на лівій стороні вулиці (починаючи з 1) і парними номерами на правій стороні вулиці (починаючи з 2).</w:t>
      </w:r>
    </w:p>
    <w:p w14:paraId="1535DE24" w14:textId="1AC03682" w:rsidR="00F8311D" w:rsidRPr="00F8311D" w:rsidRDefault="00F8311D" w:rsidP="00F8311D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t>Об’єкти, фасад яких виходить на вулицю, що утворює кільце, нумеруються послідовно за годинниковою стрілкою від центру населеного пункту з непарними номерами на лівій стороні вулиці (починаючи з 1) і парними номерами на правій стороні вулиці (починаючи з 2).</w:t>
      </w:r>
    </w:p>
    <w:p w14:paraId="31D19897" w14:textId="644A902C" w:rsidR="00F8311D" w:rsidRPr="00F8311D" w:rsidRDefault="00F8311D" w:rsidP="00F8311D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t>Визначення номерів об’єктів, фасади яких утворюють периметр площі (майдану), проводиться за годинниковою стрілкою, починаючи від вулиці більш високої категорії з боку центру міста. При цьому послідовність номерів об’єктів на наскрізних вулицях, що примикають до площі (майдану), переривається. У разі якщо кутовий об’єкт має головний фасад і значну протяжність вздовж вулиці, що примикає, номер може визначатись за вулицею, а не за площею (майданом).</w:t>
      </w:r>
    </w:p>
    <w:p w14:paraId="7D2E90FF" w14:textId="0CEB6E81" w:rsidR="00F8311D" w:rsidRPr="00F8311D" w:rsidRDefault="00F8311D" w:rsidP="00F8311D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t>Визначення номерів об’єктів, фасади яких виходять на вулицю з односторонньою забудовою, здійснюється послідовно у порядку їх розташування, починаючи від центру населеного пункту.</w:t>
      </w:r>
    </w:p>
    <w:p w14:paraId="31BBCBA4" w14:textId="1806C525" w:rsidR="00F8311D" w:rsidRPr="00F8311D" w:rsidRDefault="00F8311D" w:rsidP="00F8311D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t>Об’єкти, що розташовані на перетині вулиць, мають подвійну нумерацію за обома сторонами вулиці, починаючи з номера вулиці, визначеної відповідно до пунктів 4–5 розділу ІV цього Порядку, який відокремлюються знаком «/».</w:t>
      </w:r>
    </w:p>
    <w:p w14:paraId="2D0F4CB7" w14:textId="6144F379" w:rsidR="00F8311D" w:rsidRPr="00F8311D" w:rsidRDefault="00F8311D" w:rsidP="00F8311D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t>У разі якщо відсутня можливість нумерації об’єктів відповідно до пунктів 2–7 розділу VІ Порядку, нумерація проводиться відповідно до сторін світу (із заходу на схід або із півночі на південь) з нумерацією об’єктів непарними номерами на лівій стороні вулиці (починаючи з 1) і парними номерами на правій стороні вулиці (починаючи з 2).</w:t>
      </w:r>
    </w:p>
    <w:p w14:paraId="3EFEDB94" w14:textId="77777777" w:rsidR="00F8311D" w:rsidRPr="00F8311D" w:rsidRDefault="00F8311D" w:rsidP="00F8311D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lastRenderedPageBreak/>
        <w:t>Нумерація об’єкта, фасад якого виходить на вулицю та якому виходячи з уже наявної нумерації об’єктів неможливо надати номер, який є цілим числом, здійснюється за номером найближчого об’єкта з найменшим номером відповідної сторони вулиці, до якого додається літера.</w:t>
      </w:r>
    </w:p>
    <w:p w14:paraId="29778F19" w14:textId="1361B977" w:rsidR="00F8311D" w:rsidRPr="00F8311D" w:rsidRDefault="00F8311D" w:rsidP="00F8311D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t>Об’єкти, фасад яких не виходить на вулицю, нумеруються шляхом присвоєння номера одного із існуючих об’єктів, головний фасад якого виходить на вулицю, з додаванням до нього літери (крім об’єктів, призначених для обслуговування основного об’єкта).</w:t>
      </w:r>
    </w:p>
    <w:p w14:paraId="6A2E5A6E" w14:textId="6BB2D896" w:rsidR="00F8311D" w:rsidRPr="00F8311D" w:rsidRDefault="00F8311D" w:rsidP="00F8311D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t>Для кожного блокованого будинку визначається окремий номер як самостійному об’єкту.</w:t>
      </w:r>
    </w:p>
    <w:p w14:paraId="11E8345B" w14:textId="387C259C" w:rsidR="00F8311D" w:rsidRPr="00F8311D" w:rsidRDefault="00F8311D" w:rsidP="00F8311D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t>Групі будівель та споруд підприємства (як єдиного майнового комплексу) присвоюється єдиний номер об’єкта.</w:t>
      </w:r>
    </w:p>
    <w:p w14:paraId="27258031" w14:textId="00DC883F" w:rsidR="00F8311D" w:rsidRPr="00F8311D" w:rsidRDefault="00F8311D" w:rsidP="00F8311D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t>Номер об’єкта, який виділено зі складу групи будівель та споруд підприємства (як єдиного майнового комплексу), що мають єдину адресу, визначається за номером цієї групи будівель та споруд з додаванням літери або номера корпуса, починаючі з 1.</w:t>
      </w:r>
    </w:p>
    <w:p w14:paraId="5AA4A9EA" w14:textId="63EC1330" w:rsidR="00F8311D" w:rsidRPr="00F8311D" w:rsidRDefault="00F8311D" w:rsidP="00F8311D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t>Об’єкти, які розташовані на території із складним рельєфом без впорядкованої вулично-дорожньої мережі, допускається нумерувати в довільному порядку.</w:t>
      </w:r>
    </w:p>
    <w:p w14:paraId="6F167EB2" w14:textId="5302FEE1" w:rsidR="00F8311D" w:rsidRPr="00F8311D" w:rsidRDefault="00F8311D" w:rsidP="00F8311D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t>Нумерація об’єктів, що розташовані на території кооперативу, садового, дачного товариства тощо, здійснюється згідно з генеральним планом забудови кооперативу, товариства тощо та іншою планувальною і проектною документацією.</w:t>
      </w:r>
    </w:p>
    <w:p w14:paraId="4D075D23" w14:textId="77777777" w:rsidR="00F8311D" w:rsidRPr="00F8311D" w:rsidRDefault="00F8311D" w:rsidP="00F8311D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t>Об’єкти, що розташовані поза межами населеного пункту, нумеруються з присвоєнням непарних номерів (починаючи з 1) на лівій і парних номерів (починаючі з 2) на правій стороні:</w:t>
      </w:r>
    </w:p>
    <w:p w14:paraId="2E8CE5E7" w14:textId="77777777" w:rsidR="00F8311D" w:rsidRPr="00F8311D" w:rsidRDefault="00F8311D" w:rsidP="00F8311D">
      <w:pPr>
        <w:shd w:val="clear" w:color="auto" w:fill="FFFFFF"/>
        <w:spacing w:after="300"/>
        <w:jc w:val="both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t>у придорожній смузі автомобільної дороги – за зростанням кілометражу дороги в межах кожного кілометра;</w:t>
      </w:r>
    </w:p>
    <w:p w14:paraId="6FDD7906" w14:textId="4C5B98F1" w:rsidR="00F8311D" w:rsidRPr="00F8311D" w:rsidRDefault="00F8311D" w:rsidP="00F8311D">
      <w:pPr>
        <w:shd w:val="clear" w:color="auto" w:fill="FFFFFF"/>
        <w:spacing w:after="300"/>
        <w:jc w:val="both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t>у смузі відведення залізниці – за зростанням кілометражу дороги в межах відстані між двома роздільними пунктами.</w:t>
      </w:r>
    </w:p>
    <w:p w14:paraId="1E78BF36" w14:textId="77777777" w:rsidR="00F8311D" w:rsidRPr="00F8311D" w:rsidRDefault="00F8311D" w:rsidP="00F8311D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t>Об’єкти, розташовані у межах об’єднаної територіальної громади за межами населеного пункту та/або придорожніх смуг автомобільних доріг і смуг відведення залізниць, нумеруються за порядком, починаючи з 1 у межах об’єднаної територіальної громади.</w:t>
      </w:r>
    </w:p>
    <w:p w14:paraId="194C40FA" w14:textId="77777777" w:rsidR="00F8311D" w:rsidRPr="00F8311D" w:rsidRDefault="00F8311D" w:rsidP="00F8311D">
      <w:pPr>
        <w:shd w:val="clear" w:color="auto" w:fill="FFFFFF"/>
        <w:spacing w:after="300"/>
        <w:jc w:val="both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t> </w:t>
      </w:r>
    </w:p>
    <w:p w14:paraId="59E4B22A" w14:textId="3F809BE5" w:rsidR="00F8311D" w:rsidRPr="00F8311D" w:rsidRDefault="00F8311D" w:rsidP="00F8311D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lastRenderedPageBreak/>
        <w:t>Об’єкти, розташовані за межами об’єднаної територіальної громади, населеного пункту та придорожніх смуг автомобільних доріг і смуг відведення залізниць, нумеруються за порядком, починаючи з 1 у межах району.</w:t>
      </w:r>
    </w:p>
    <w:p w14:paraId="03659948" w14:textId="7202D20E" w:rsidR="00F8311D" w:rsidRPr="00F8311D" w:rsidRDefault="00F8311D" w:rsidP="00F8311D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t>У разі якщо нумерації об’єктів до набрання чинності цим Порядком здійснювалась в інший спосіб, ніж передбачено цим Порядком, подальшу нумерацію нових об’єктів допускається продовжувати з використанням раніше застосованого способу нумерації.</w:t>
      </w:r>
    </w:p>
    <w:p w14:paraId="449C2F83" w14:textId="0EFA41BD" w:rsidR="00F8311D" w:rsidRPr="00F8311D" w:rsidRDefault="00F8311D" w:rsidP="00F8311D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t>У випадку присвоєння адреси у разі поділу, виділення частки з одноквартирного будинку (індивідуального (садибного) житлового будинку, садового, дачного будинку) застосовується реквізит «Номер об’єкта».</w:t>
      </w:r>
    </w:p>
    <w:p w14:paraId="07A51672" w14:textId="72DBB307" w:rsidR="00F8311D" w:rsidRPr="00F8311D" w:rsidRDefault="00F8311D" w:rsidP="00F8311D">
      <w:pPr>
        <w:shd w:val="clear" w:color="auto" w:fill="FFFFFF"/>
        <w:spacing w:after="300"/>
        <w:jc w:val="center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b/>
          <w:bCs/>
          <w:color w:val="1D1D1B"/>
          <w:sz w:val="27"/>
          <w:szCs w:val="27"/>
        </w:rPr>
        <w:t>VII. Визначення реквізиту адреси «номер окремої частини об’єкта»</w:t>
      </w:r>
    </w:p>
    <w:p w14:paraId="635AC816" w14:textId="77777777" w:rsidR="00F8311D" w:rsidRPr="00F8311D" w:rsidRDefault="00F8311D" w:rsidP="00F8311D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t>Окремі частини об’єкта (квартири, приміщення тощо) нумеруються арабськими цифрами.</w:t>
      </w:r>
    </w:p>
    <w:p w14:paraId="2CBAE86F" w14:textId="77777777" w:rsidR="00F8311D" w:rsidRPr="00F8311D" w:rsidRDefault="00F8311D" w:rsidP="00F8311D">
      <w:pPr>
        <w:shd w:val="clear" w:color="auto" w:fill="FFFFFF"/>
        <w:spacing w:after="300"/>
        <w:jc w:val="both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t>Номери окремим частинам об’єкта (квартири, приміщення тощо) не зазначаються:</w:t>
      </w:r>
    </w:p>
    <w:p w14:paraId="1973A825" w14:textId="77777777" w:rsidR="00F8311D" w:rsidRPr="00F8311D" w:rsidRDefault="00F8311D" w:rsidP="00F8311D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t>на етапі отримання містобудівних умов та обмежень забудови земельної ділянки;</w:t>
      </w:r>
    </w:p>
    <w:p w14:paraId="0506414D" w14:textId="77777777" w:rsidR="00F8311D" w:rsidRPr="00F8311D" w:rsidRDefault="00F8311D" w:rsidP="00F8311D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t>під час здійснення забудови земельної ділянки на підставі будівельного паспорта забудови земельної ділянки;</w:t>
      </w:r>
    </w:p>
    <w:p w14:paraId="5C03E0BE" w14:textId="77777777" w:rsidR="00F8311D" w:rsidRPr="00F8311D" w:rsidRDefault="00F8311D" w:rsidP="00F8311D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t>під час здійснення забудови земельної ділянки індивідуальним житловим будинком (садибою);</w:t>
      </w:r>
    </w:p>
    <w:p w14:paraId="5709B6FB" w14:textId="71337C91" w:rsidR="00F8311D" w:rsidRPr="00F8311D" w:rsidRDefault="00F8311D" w:rsidP="00F8311D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t>у разі відсутності поділа об’єкту на окремі частини (квартири, приміщення тощо).</w:t>
      </w:r>
    </w:p>
    <w:p w14:paraId="2ABDA8E1" w14:textId="77777777" w:rsidR="00F8311D" w:rsidRPr="00F8311D" w:rsidRDefault="00F8311D" w:rsidP="00F8311D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t>Окремі частини об’єкта (квартири, приміщення тощо) нумеруються окремо у порядку руху за годинниковою стрілкою, у зростаючому порядку, починаючи від номера 1 на першому поверсі. Нумерація проводиться послідовно з першого під’їзду (орієнтуючись на фасад будинку з виходами під’їздів), починаючи від входу, знизу – вгору.</w:t>
      </w:r>
    </w:p>
    <w:p w14:paraId="5011999C" w14:textId="01BD4CFA" w:rsidR="00F8311D" w:rsidRPr="00F8311D" w:rsidRDefault="00F8311D" w:rsidP="00F8311D">
      <w:pPr>
        <w:shd w:val="clear" w:color="auto" w:fill="FFFFFF"/>
        <w:spacing w:after="300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t>Не допускається повторення номерів квартир, приміщень тощо.</w:t>
      </w:r>
    </w:p>
    <w:p w14:paraId="5C4F5361" w14:textId="6AAF958D" w:rsidR="00F8311D" w:rsidRPr="00F8311D" w:rsidRDefault="00F8311D" w:rsidP="00F8311D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t>Нумерація вбудованих (вбудовано-прибудованих, прибудованих) нежитлових приміщень (груп нежитлових приміщень) здійснюється після закінчення нумерації всіх квартир.</w:t>
      </w:r>
    </w:p>
    <w:p w14:paraId="7E045EC2" w14:textId="7219066A" w:rsidR="00F8311D" w:rsidRPr="00F8311D" w:rsidRDefault="00F8311D" w:rsidP="00F8311D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t>Нумерацію приміщень у громадських будинках доцільно встановлювати відповідно до номера поверху (наприклад, перший поверх – 101, 102, другий – 201, 202 тощо).</w:t>
      </w:r>
    </w:p>
    <w:p w14:paraId="06426DB3" w14:textId="64FC3841" w:rsidR="00F8311D" w:rsidRPr="00F8311D" w:rsidRDefault="00F8311D" w:rsidP="00F8311D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lastRenderedPageBreak/>
        <w:t>У разі зміни функціонального призначення окремої частини об’єкта, яка є самостійним об’єктом цивільно-правових відносин та має окремий вхід (вихід), адреса такої частини об’єкта визначається шляхом додавання до адреси об’єкта окремого порядкового номера такої частини (наприклад: вулиця Старокиївська, будинок 10, нежитлове приміщення 2).</w:t>
      </w:r>
    </w:p>
    <w:p w14:paraId="20D7A8D1" w14:textId="12153D6B" w:rsidR="00F8311D" w:rsidRPr="00F8311D" w:rsidRDefault="00F8311D" w:rsidP="00F8311D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t>У випадку поєднання понумерованих квартир та/або приміщень в одну квартиру та/або приміщення використовуються поєднані номери квартир (приміщень) через дріб (наприклад, «квартира 17/21», «приміщення 3/4/5/6»).</w:t>
      </w:r>
    </w:p>
    <w:p w14:paraId="0C742C80" w14:textId="77777777" w:rsidR="00F8311D" w:rsidRPr="00F8311D" w:rsidRDefault="00F8311D" w:rsidP="00F8311D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t>У випадку поділу понумерованих квартир або приміщень із виділенням їх частин як окремих об’єктів права власності використовується додавання номера частини до номера квартири або приміщення через дефіс (наприклад, «квартира 17-1», «приміщення 3-2»).</w:t>
      </w:r>
    </w:p>
    <w:p w14:paraId="11D6C660" w14:textId="1DD1C5DE" w:rsidR="00F8311D" w:rsidRPr="00F8311D" w:rsidRDefault="00F8311D" w:rsidP="00F8311D">
      <w:pPr>
        <w:shd w:val="clear" w:color="auto" w:fill="FFFFFF"/>
        <w:spacing w:after="300"/>
        <w:jc w:val="both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t>У разі якщо проводиться поділ раніше об’єднаних квартир або приміщень у порядку, передбаченому пунктом 6 розділу VІ цього Порядку, використовуються номери поєднаних квартир або приміщень. За необхідності використовується додавання номерів в порядку, передбаченому абзацом першим цього пункту (наприклад, квартира 16/17/20/21 поділена на дві двоповерхові квартири 16/20 та 17/21, приміщення 3/4/5/6 поділено на приміщення 3, 4, 5-1, 5-2, 6-1, 6-2).</w:t>
      </w:r>
    </w:p>
    <w:p w14:paraId="7784FAC2" w14:textId="77777777" w:rsidR="00F8311D" w:rsidRPr="00F8311D" w:rsidRDefault="00F8311D" w:rsidP="00F8311D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D1D1B"/>
          <w:sz w:val="27"/>
          <w:szCs w:val="27"/>
        </w:rPr>
      </w:pPr>
      <w:r w:rsidRPr="00F8311D">
        <w:rPr>
          <w:rFonts w:ascii="Arial" w:eastAsia="Times New Roman" w:hAnsi="Arial" w:cs="Arial"/>
          <w:color w:val="1D1D1B"/>
          <w:sz w:val="27"/>
          <w:szCs w:val="27"/>
        </w:rPr>
        <w:t>Поділ індивідуальних (садибних) житлових будинків, що є одноквартирними, садових, дачних будинків на квартири та/або приміщення не допускається.</w:t>
      </w:r>
    </w:p>
    <w:p w14:paraId="5B437A0D" w14:textId="77777777" w:rsidR="00F8311D" w:rsidRDefault="00F8311D"/>
    <w:sectPr w:rsidR="00F8311D" w:rsidSect="00F8311D">
      <w:pgSz w:w="11900" w:h="16840"/>
      <w:pgMar w:top="882" w:right="962" w:bottom="129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4655"/>
    <w:multiLevelType w:val="multilevel"/>
    <w:tmpl w:val="BD782E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96D53"/>
    <w:multiLevelType w:val="multilevel"/>
    <w:tmpl w:val="994A1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351380"/>
    <w:multiLevelType w:val="multilevel"/>
    <w:tmpl w:val="898C5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C66E11"/>
    <w:multiLevelType w:val="multilevel"/>
    <w:tmpl w:val="82AC80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D14BBB"/>
    <w:multiLevelType w:val="multilevel"/>
    <w:tmpl w:val="21762A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2C1F6C"/>
    <w:multiLevelType w:val="multilevel"/>
    <w:tmpl w:val="67E89B4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B64705"/>
    <w:multiLevelType w:val="multilevel"/>
    <w:tmpl w:val="BC72F10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8D7813"/>
    <w:multiLevelType w:val="multilevel"/>
    <w:tmpl w:val="7D2C90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606B69"/>
    <w:multiLevelType w:val="multilevel"/>
    <w:tmpl w:val="BFD24C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750F9A"/>
    <w:multiLevelType w:val="multilevel"/>
    <w:tmpl w:val="926002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4F28DC"/>
    <w:multiLevelType w:val="multilevel"/>
    <w:tmpl w:val="68B4450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556E68"/>
    <w:multiLevelType w:val="multilevel"/>
    <w:tmpl w:val="C15214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9D007E"/>
    <w:multiLevelType w:val="multilevel"/>
    <w:tmpl w:val="2E9218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4071CA"/>
    <w:multiLevelType w:val="multilevel"/>
    <w:tmpl w:val="5D18C6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9D7F85"/>
    <w:multiLevelType w:val="multilevel"/>
    <w:tmpl w:val="DE58532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824F7D"/>
    <w:multiLevelType w:val="multilevel"/>
    <w:tmpl w:val="65921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562E98"/>
    <w:multiLevelType w:val="multilevel"/>
    <w:tmpl w:val="97FC4D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E229BC"/>
    <w:multiLevelType w:val="multilevel"/>
    <w:tmpl w:val="B95698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B27702"/>
    <w:multiLevelType w:val="multilevel"/>
    <w:tmpl w:val="9CC26A8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961235"/>
    <w:multiLevelType w:val="multilevel"/>
    <w:tmpl w:val="7E225DA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94379B"/>
    <w:multiLevelType w:val="multilevel"/>
    <w:tmpl w:val="CFDCB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B16E0F"/>
    <w:multiLevelType w:val="multilevel"/>
    <w:tmpl w:val="295867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4453FA"/>
    <w:multiLevelType w:val="multilevel"/>
    <w:tmpl w:val="DCFAF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630BCB"/>
    <w:multiLevelType w:val="multilevel"/>
    <w:tmpl w:val="27BE01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307A56"/>
    <w:multiLevelType w:val="multilevel"/>
    <w:tmpl w:val="12D00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AD79CA"/>
    <w:multiLevelType w:val="multilevel"/>
    <w:tmpl w:val="0908C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E37D08"/>
    <w:multiLevelType w:val="multilevel"/>
    <w:tmpl w:val="DD5E08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04793C"/>
    <w:multiLevelType w:val="multilevel"/>
    <w:tmpl w:val="853E36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3A0B34"/>
    <w:multiLevelType w:val="multilevel"/>
    <w:tmpl w:val="DEB8F2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680D2D"/>
    <w:multiLevelType w:val="multilevel"/>
    <w:tmpl w:val="3C9460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1F4893"/>
    <w:multiLevelType w:val="multilevel"/>
    <w:tmpl w:val="051A2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066D17"/>
    <w:multiLevelType w:val="multilevel"/>
    <w:tmpl w:val="93B03C6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8E11B1"/>
    <w:multiLevelType w:val="multilevel"/>
    <w:tmpl w:val="B41ABE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D668FD"/>
    <w:multiLevelType w:val="multilevel"/>
    <w:tmpl w:val="EBE8E8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2851DC"/>
    <w:multiLevelType w:val="multilevel"/>
    <w:tmpl w:val="7D300EE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F868E5"/>
    <w:multiLevelType w:val="multilevel"/>
    <w:tmpl w:val="D7685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7F5EE5"/>
    <w:multiLevelType w:val="multilevel"/>
    <w:tmpl w:val="A14ED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902AE7"/>
    <w:multiLevelType w:val="multilevel"/>
    <w:tmpl w:val="1E40F9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AF13D0"/>
    <w:multiLevelType w:val="multilevel"/>
    <w:tmpl w:val="A25041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0843D8"/>
    <w:multiLevelType w:val="multilevel"/>
    <w:tmpl w:val="DABE30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4B1825"/>
    <w:multiLevelType w:val="multilevel"/>
    <w:tmpl w:val="DBC83B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C6285B"/>
    <w:multiLevelType w:val="multilevel"/>
    <w:tmpl w:val="E9340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E212DB"/>
    <w:multiLevelType w:val="multilevel"/>
    <w:tmpl w:val="2D9E5F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01571D"/>
    <w:multiLevelType w:val="multilevel"/>
    <w:tmpl w:val="626C523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D433DB"/>
    <w:multiLevelType w:val="multilevel"/>
    <w:tmpl w:val="218674A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8"/>
  </w:num>
  <w:num w:numId="3">
    <w:abstractNumId w:val="36"/>
  </w:num>
  <w:num w:numId="4">
    <w:abstractNumId w:val="1"/>
  </w:num>
  <w:num w:numId="5">
    <w:abstractNumId w:val="9"/>
  </w:num>
  <w:num w:numId="6">
    <w:abstractNumId w:val="24"/>
  </w:num>
  <w:num w:numId="7">
    <w:abstractNumId w:val="29"/>
  </w:num>
  <w:num w:numId="8">
    <w:abstractNumId w:val="35"/>
  </w:num>
  <w:num w:numId="9">
    <w:abstractNumId w:val="4"/>
  </w:num>
  <w:num w:numId="10">
    <w:abstractNumId w:val="41"/>
  </w:num>
  <w:num w:numId="11">
    <w:abstractNumId w:val="27"/>
  </w:num>
  <w:num w:numId="12">
    <w:abstractNumId w:val="40"/>
  </w:num>
  <w:num w:numId="13">
    <w:abstractNumId w:val="22"/>
  </w:num>
  <w:num w:numId="14">
    <w:abstractNumId w:val="17"/>
  </w:num>
  <w:num w:numId="15">
    <w:abstractNumId w:val="16"/>
  </w:num>
  <w:num w:numId="16">
    <w:abstractNumId w:val="7"/>
  </w:num>
  <w:num w:numId="17">
    <w:abstractNumId w:val="28"/>
  </w:num>
  <w:num w:numId="18">
    <w:abstractNumId w:val="30"/>
  </w:num>
  <w:num w:numId="19">
    <w:abstractNumId w:val="33"/>
  </w:num>
  <w:num w:numId="20">
    <w:abstractNumId w:val="2"/>
  </w:num>
  <w:num w:numId="21">
    <w:abstractNumId w:val="11"/>
  </w:num>
  <w:num w:numId="22">
    <w:abstractNumId w:val="37"/>
  </w:num>
  <w:num w:numId="23">
    <w:abstractNumId w:val="0"/>
  </w:num>
  <w:num w:numId="24">
    <w:abstractNumId w:val="39"/>
  </w:num>
  <w:num w:numId="25">
    <w:abstractNumId w:val="26"/>
  </w:num>
  <w:num w:numId="26">
    <w:abstractNumId w:val="23"/>
  </w:num>
  <w:num w:numId="27">
    <w:abstractNumId w:val="6"/>
  </w:num>
  <w:num w:numId="28">
    <w:abstractNumId w:val="31"/>
  </w:num>
  <w:num w:numId="29">
    <w:abstractNumId w:val="5"/>
  </w:num>
  <w:num w:numId="30">
    <w:abstractNumId w:val="43"/>
  </w:num>
  <w:num w:numId="31">
    <w:abstractNumId w:val="34"/>
  </w:num>
  <w:num w:numId="32">
    <w:abstractNumId w:val="19"/>
  </w:num>
  <w:num w:numId="33">
    <w:abstractNumId w:val="18"/>
  </w:num>
  <w:num w:numId="34">
    <w:abstractNumId w:val="14"/>
  </w:num>
  <w:num w:numId="35">
    <w:abstractNumId w:val="10"/>
  </w:num>
  <w:num w:numId="36">
    <w:abstractNumId w:val="44"/>
  </w:num>
  <w:num w:numId="37">
    <w:abstractNumId w:val="20"/>
  </w:num>
  <w:num w:numId="38">
    <w:abstractNumId w:val="25"/>
  </w:num>
  <w:num w:numId="39">
    <w:abstractNumId w:val="42"/>
  </w:num>
  <w:num w:numId="40">
    <w:abstractNumId w:val="13"/>
  </w:num>
  <w:num w:numId="41">
    <w:abstractNumId w:val="12"/>
  </w:num>
  <w:num w:numId="42">
    <w:abstractNumId w:val="8"/>
  </w:num>
  <w:num w:numId="43">
    <w:abstractNumId w:val="3"/>
  </w:num>
  <w:num w:numId="44">
    <w:abstractNumId w:val="32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1D"/>
    <w:rsid w:val="005C3AE6"/>
    <w:rsid w:val="00F8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A00067"/>
  <w15:chartTrackingRefBased/>
  <w15:docId w15:val="{AAE9F684-9C5F-AA43-9F10-D022D44A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31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831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8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2262</Words>
  <Characters>12899</Characters>
  <Application>Microsoft Office Word</Application>
  <DocSecurity>0</DocSecurity>
  <Lines>107</Lines>
  <Paragraphs>30</Paragraphs>
  <ScaleCrop>false</ScaleCrop>
  <Company/>
  <LinksUpToDate>false</LinksUpToDate>
  <CharactersWithSpaces>15131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 Брикайло</dc:creator>
  <cp:keywords/>
  <dc:description/>
  <cp:lastModifiedBy>Юрій Брикайло</cp:lastModifiedBy>
  <cp:revision>1</cp:revision>
  <dcterms:created xsi:type="dcterms:W3CDTF">2020-04-08T07:18:00Z</dcterms:created>
  <dcterms:modified xsi:type="dcterms:W3CDTF">2020-04-08T07:21:00Z</dcterms:modified>
</cp:coreProperties>
</file>